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17F7" w14:textId="094269B1" w:rsidR="00395036" w:rsidRPr="001236D1" w:rsidRDefault="00663E42">
      <w:pPr>
        <w:jc w:val="right"/>
        <w:rPr>
          <w:lang w:val="es-MX"/>
        </w:rPr>
      </w:pPr>
      <w:r w:rsidRPr="001236D1">
        <w:rPr>
          <w:i/>
          <w:color w:val="646464"/>
          <w:sz w:val="16"/>
          <w:lang w:val="es-MX"/>
        </w:rPr>
        <w:t xml:space="preserve">Versión 1.0 </w:t>
      </w:r>
    </w:p>
    <w:p w14:paraId="40FF53EB" w14:textId="77777777" w:rsidR="00395036" w:rsidRPr="001236D1" w:rsidRDefault="00663E42">
      <w:pPr>
        <w:jc w:val="center"/>
        <w:rPr>
          <w:lang w:val="es-MX"/>
        </w:rPr>
      </w:pPr>
      <w:r w:rsidRPr="001236D1">
        <w:rPr>
          <w:b/>
          <w:color w:val="1F4E79"/>
          <w:sz w:val="40"/>
          <w:lang w:val="es-MX"/>
        </w:rPr>
        <w:t>Diagrama de clases</w:t>
      </w:r>
    </w:p>
    <w:p w14:paraId="1E433B82" w14:textId="77777777" w:rsidR="00395036" w:rsidRPr="001236D1" w:rsidRDefault="00663E42">
      <w:pPr>
        <w:jc w:val="center"/>
        <w:rPr>
          <w:lang w:val="es-MX"/>
        </w:rPr>
      </w:pPr>
      <w:r w:rsidRPr="001236D1">
        <w:rPr>
          <w:color w:val="505050"/>
          <w:sz w:val="24"/>
          <w:lang w:val="es-MX"/>
        </w:rPr>
        <w:t xml:space="preserve">Proyecto BARB - Fase 1 </w:t>
      </w:r>
      <w:proofErr w:type="spellStart"/>
      <w:r w:rsidRPr="001236D1">
        <w:rPr>
          <w:color w:val="505050"/>
          <w:sz w:val="24"/>
          <w:lang w:val="es-MX"/>
        </w:rPr>
        <w:t>Capstone</w:t>
      </w:r>
      <w:proofErr w:type="spellEnd"/>
    </w:p>
    <w:p w14:paraId="144EBB9A" w14:textId="77777777" w:rsidR="00395036" w:rsidRPr="001236D1" w:rsidRDefault="00663E42">
      <w:pPr>
        <w:jc w:val="center"/>
        <w:rPr>
          <w:lang w:val="es-MX"/>
        </w:rPr>
      </w:pPr>
      <w:r w:rsidRPr="001236D1">
        <w:rPr>
          <w:i/>
          <w:sz w:val="18"/>
          <w:lang w:val="es-MX"/>
        </w:rPr>
        <w:t>Proyecto BARB | Ingeniería en Informática | Capstone Fase 1</w:t>
      </w:r>
    </w:p>
    <w:p w14:paraId="2B7FC077" w14:textId="77777777" w:rsidR="00395036" w:rsidRPr="001236D1" w:rsidRDefault="00395036">
      <w:pPr>
        <w:rPr>
          <w:lang w:val="es-MX"/>
        </w:rPr>
      </w:pPr>
    </w:p>
    <w:p w14:paraId="5F074D93" w14:textId="77777777" w:rsidR="00395036" w:rsidRPr="001236D1" w:rsidRDefault="00663E42">
      <w:pPr>
        <w:pStyle w:val="Ttulo1"/>
        <w:rPr>
          <w:lang w:val="es-MX"/>
        </w:rPr>
      </w:pPr>
      <w:r w:rsidRPr="001236D1">
        <w:rPr>
          <w:lang w:val="es-MX"/>
        </w:rPr>
        <w:t>1. Propósito</w:t>
      </w:r>
    </w:p>
    <w:p w14:paraId="3637F105" w14:textId="77777777" w:rsidR="00395036" w:rsidRPr="001236D1" w:rsidRDefault="00663E42">
      <w:pPr>
        <w:spacing w:after="40"/>
        <w:rPr>
          <w:lang w:val="es-MX"/>
        </w:rPr>
      </w:pPr>
      <w:r w:rsidRPr="001236D1">
        <w:rPr>
          <w:lang w:val="es-MX"/>
        </w:rPr>
        <w:t>El siguiente diagrama corresponde a una vista conceptual de clases/componentes orientada al foco Capstone. No reemplaza el modelo entidad-relación de base de datos. Representa responsabilidades de software, relaciones funcionales y servicios que participan en movilidad, reportabilidad, RAG y auditoría. Los elementos Site/Floor son conceptuales y su persistencia definitiva deberá alinearse con el modelo de datos validado. Para la sincronización offline pueden existir servicios internos como Outbox, IndexedDB</w:t>
      </w:r>
      <w:r w:rsidRPr="001236D1">
        <w:rPr>
          <w:lang w:val="es-MX"/>
        </w:rPr>
        <w:t>/Dexie y SyncService sin tratarlos como entidades de negocio.</w:t>
      </w:r>
    </w:p>
    <w:p w14:paraId="1B2626E2" w14:textId="77777777" w:rsidR="00395036" w:rsidRDefault="00663E42">
      <w:pPr>
        <w:pStyle w:val="Ttulo1"/>
      </w:pPr>
      <w:r>
        <w:t>2. Diagrama conceptual</w:t>
      </w:r>
    </w:p>
    <w:p w14:paraId="21AE6C51" w14:textId="77777777" w:rsidR="00395036" w:rsidRDefault="00663E42">
      <w:pPr>
        <w:keepNext/>
        <w:jc w:val="center"/>
      </w:pPr>
      <w:r>
        <w:rPr>
          <w:noProof/>
        </w:rPr>
        <w:drawing>
          <wp:inline distT="0" distB="0" distL="0" distR="0" wp14:anchorId="53DD5DCD" wp14:editId="6E646BA5">
            <wp:extent cx="5940000" cy="1280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2C74" w14:textId="77777777" w:rsidR="00395036" w:rsidRPr="001236D1" w:rsidRDefault="00663E42">
      <w:pPr>
        <w:spacing w:after="80"/>
        <w:jc w:val="center"/>
        <w:rPr>
          <w:lang w:val="es-MX"/>
        </w:rPr>
      </w:pPr>
      <w:r w:rsidRPr="001236D1">
        <w:rPr>
          <w:i/>
          <w:color w:val="5A5A5A"/>
          <w:sz w:val="17"/>
          <w:lang w:val="es-MX"/>
        </w:rPr>
        <w:t>Figura 1. Diagrama conceptual de clases/componentes del foco de desarrollo.</w:t>
      </w:r>
    </w:p>
    <w:p w14:paraId="727C2D7D" w14:textId="77777777" w:rsidR="00395036" w:rsidRDefault="00663E42">
      <w:pPr>
        <w:pStyle w:val="Ttulo1"/>
      </w:pPr>
      <w:r>
        <w:t>3. Responsabilidades principales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370"/>
      </w:tblGrid>
      <w:tr w:rsidR="00395036" w14:paraId="38814EDB" w14:textId="77777777">
        <w:trPr>
          <w:cantSplit/>
        </w:trPr>
        <w:tc>
          <w:tcPr>
            <w:tcW w:w="2835" w:type="dxa"/>
            <w:shd w:val="clear" w:color="auto" w:fill="1F4E79"/>
          </w:tcPr>
          <w:p w14:paraId="20E9FBF7" w14:textId="77777777" w:rsidR="00395036" w:rsidRDefault="00663E42">
            <w:r>
              <w:rPr>
                <w:b/>
                <w:color w:val="FFFFFF"/>
                <w:sz w:val="15"/>
              </w:rPr>
              <w:t>Clase / componente</w:t>
            </w:r>
          </w:p>
        </w:tc>
        <w:tc>
          <w:tcPr>
            <w:tcW w:w="7370" w:type="dxa"/>
            <w:shd w:val="clear" w:color="auto" w:fill="1F4E79"/>
          </w:tcPr>
          <w:p w14:paraId="4B73E768" w14:textId="77777777" w:rsidR="00395036" w:rsidRDefault="00663E42">
            <w:r>
              <w:rPr>
                <w:b/>
                <w:color w:val="FFFFFF"/>
                <w:sz w:val="15"/>
              </w:rPr>
              <w:t>Responsabilidad</w:t>
            </w:r>
          </w:p>
        </w:tc>
      </w:tr>
      <w:tr w:rsidR="00395036" w:rsidRPr="001236D1" w14:paraId="1EC008E0" w14:textId="77777777">
        <w:trPr>
          <w:cantSplit/>
        </w:trPr>
        <w:tc>
          <w:tcPr>
            <w:tcW w:w="2835" w:type="dxa"/>
          </w:tcPr>
          <w:p w14:paraId="53BB0BBD" w14:textId="77777777" w:rsidR="00395036" w:rsidRDefault="00663E42">
            <w:r>
              <w:rPr>
                <w:sz w:val="15"/>
              </w:rPr>
              <w:t>Tenant / Empresa</w:t>
            </w:r>
          </w:p>
        </w:tc>
        <w:tc>
          <w:tcPr>
            <w:tcW w:w="7370" w:type="dxa"/>
          </w:tcPr>
          <w:p w14:paraId="49BE25E1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Contexto organizacional y separación lógica de información.</w:t>
            </w:r>
          </w:p>
        </w:tc>
      </w:tr>
      <w:tr w:rsidR="00395036" w:rsidRPr="001236D1" w14:paraId="16F73987" w14:textId="77777777">
        <w:trPr>
          <w:cantSplit/>
        </w:trPr>
        <w:tc>
          <w:tcPr>
            <w:tcW w:w="2835" w:type="dxa"/>
          </w:tcPr>
          <w:p w14:paraId="48212E93" w14:textId="77777777" w:rsidR="00395036" w:rsidRDefault="00663E42">
            <w:r>
              <w:rPr>
                <w:sz w:val="15"/>
              </w:rPr>
              <w:t>User</w:t>
            </w:r>
          </w:p>
        </w:tc>
        <w:tc>
          <w:tcPr>
            <w:tcW w:w="7370" w:type="dxa"/>
          </w:tcPr>
          <w:p w14:paraId="3C0495E5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Identidad, rol y usuario responsable de acciones.</w:t>
            </w:r>
          </w:p>
        </w:tc>
      </w:tr>
      <w:tr w:rsidR="00395036" w:rsidRPr="001236D1" w14:paraId="585E95AC" w14:textId="77777777">
        <w:trPr>
          <w:cantSplit/>
        </w:trPr>
        <w:tc>
          <w:tcPr>
            <w:tcW w:w="2835" w:type="dxa"/>
          </w:tcPr>
          <w:p w14:paraId="2566A086" w14:textId="77777777" w:rsidR="00395036" w:rsidRDefault="00663E42">
            <w:r>
              <w:rPr>
                <w:sz w:val="15"/>
              </w:rPr>
              <w:t>Site / Floor</w:t>
            </w:r>
          </w:p>
        </w:tc>
        <w:tc>
          <w:tcPr>
            <w:tcW w:w="7370" w:type="dxa"/>
          </w:tcPr>
          <w:p w14:paraId="6D28FC29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Niveles conceptuales usados por la reportabilidad; Floor queda sujeto a validación del modelo definitivo.</w:t>
            </w:r>
          </w:p>
        </w:tc>
      </w:tr>
      <w:tr w:rsidR="00395036" w:rsidRPr="001236D1" w14:paraId="6528F8C4" w14:textId="77777777">
        <w:trPr>
          <w:cantSplit/>
        </w:trPr>
        <w:tc>
          <w:tcPr>
            <w:tcW w:w="2835" w:type="dxa"/>
          </w:tcPr>
          <w:p w14:paraId="3FA0CD2A" w14:textId="77777777" w:rsidR="00395036" w:rsidRDefault="00663E42">
            <w:r>
              <w:rPr>
                <w:sz w:val="15"/>
              </w:rPr>
              <w:t>Machine</w:t>
            </w:r>
          </w:p>
        </w:tc>
        <w:tc>
          <w:tcPr>
            <w:tcW w:w="7370" w:type="dxa"/>
          </w:tcPr>
          <w:p w14:paraId="16EB8A65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Equipo industrial relacionado con OTs, incidentes y documentación.</w:t>
            </w:r>
          </w:p>
        </w:tc>
      </w:tr>
      <w:tr w:rsidR="00395036" w:rsidRPr="001236D1" w14:paraId="7BAF2E22" w14:textId="77777777">
        <w:trPr>
          <w:cantSplit/>
        </w:trPr>
        <w:tc>
          <w:tcPr>
            <w:tcW w:w="2835" w:type="dxa"/>
          </w:tcPr>
          <w:p w14:paraId="6FDC5A41" w14:textId="77777777" w:rsidR="00395036" w:rsidRDefault="00663E42">
            <w:r>
              <w:rPr>
                <w:sz w:val="15"/>
              </w:rPr>
              <w:t>WorkOrder / Incident</w:t>
            </w:r>
          </w:p>
        </w:tc>
        <w:tc>
          <w:tcPr>
            <w:tcW w:w="7370" w:type="dxa"/>
          </w:tcPr>
          <w:p w14:paraId="737F74C2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Orden de trabajo y eventos/incidencias asociados.</w:t>
            </w:r>
          </w:p>
        </w:tc>
      </w:tr>
      <w:tr w:rsidR="00395036" w:rsidRPr="001236D1" w14:paraId="5308CFA5" w14:textId="77777777">
        <w:trPr>
          <w:cantSplit/>
        </w:trPr>
        <w:tc>
          <w:tcPr>
            <w:tcW w:w="2835" w:type="dxa"/>
          </w:tcPr>
          <w:p w14:paraId="0A89D1B4" w14:textId="77777777" w:rsidR="00395036" w:rsidRDefault="00663E42">
            <w:r>
              <w:rPr>
                <w:sz w:val="15"/>
              </w:rPr>
              <w:t>Manual / ManualChunk</w:t>
            </w:r>
          </w:p>
        </w:tc>
        <w:tc>
          <w:tcPr>
            <w:tcW w:w="7370" w:type="dxa"/>
          </w:tcPr>
          <w:p w14:paraId="643EA9E6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Material técnico y fragmentos/embeddings para consulta documental y contingencia offline.</w:t>
            </w:r>
          </w:p>
        </w:tc>
      </w:tr>
      <w:tr w:rsidR="00395036" w:rsidRPr="001236D1" w14:paraId="2C8C47E8" w14:textId="77777777">
        <w:trPr>
          <w:cantSplit/>
        </w:trPr>
        <w:tc>
          <w:tcPr>
            <w:tcW w:w="2835" w:type="dxa"/>
          </w:tcPr>
          <w:p w14:paraId="1412C6C9" w14:textId="77777777" w:rsidR="00395036" w:rsidRDefault="00663E42">
            <w:r>
              <w:rPr>
                <w:sz w:val="15"/>
              </w:rPr>
              <w:t>ReportRequest</w:t>
            </w:r>
          </w:p>
        </w:tc>
        <w:tc>
          <w:tcPr>
            <w:tcW w:w="7370" w:type="dxa"/>
          </w:tcPr>
          <w:p w14:paraId="2F60B854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Solicitud de reporte con período y filtros gerenciales.</w:t>
            </w:r>
          </w:p>
        </w:tc>
      </w:tr>
      <w:tr w:rsidR="00395036" w:rsidRPr="001236D1" w14:paraId="20A8DC2A" w14:textId="77777777">
        <w:trPr>
          <w:cantSplit/>
        </w:trPr>
        <w:tc>
          <w:tcPr>
            <w:tcW w:w="2835" w:type="dxa"/>
          </w:tcPr>
          <w:p w14:paraId="1CAF5D82" w14:textId="77777777" w:rsidR="00395036" w:rsidRDefault="00663E42">
            <w:r>
              <w:rPr>
                <w:sz w:val="15"/>
              </w:rPr>
              <w:t>AuditEvent</w:t>
            </w:r>
          </w:p>
        </w:tc>
        <w:tc>
          <w:tcPr>
            <w:tcW w:w="7370" w:type="dxa"/>
          </w:tcPr>
          <w:p w14:paraId="0EA30FFB" w14:textId="77777777" w:rsidR="00395036" w:rsidRPr="001236D1" w:rsidRDefault="00663E42">
            <w:pPr>
              <w:rPr>
                <w:lang w:val="es-MX"/>
              </w:rPr>
            </w:pPr>
            <w:r w:rsidRPr="001236D1">
              <w:rPr>
                <w:sz w:val="15"/>
                <w:lang w:val="es-MX"/>
              </w:rPr>
              <w:t>Registro de trazabilidad de usuario, tenant, acción, recurso y timestamp.</w:t>
            </w:r>
          </w:p>
        </w:tc>
      </w:tr>
    </w:tbl>
    <w:p w14:paraId="0B778133" w14:textId="77777777" w:rsidR="00663E42" w:rsidRPr="001236D1" w:rsidRDefault="00663E42">
      <w:pPr>
        <w:rPr>
          <w:lang w:val="es-MX"/>
        </w:rPr>
      </w:pPr>
    </w:p>
    <w:sectPr w:rsidR="00663E42" w:rsidRPr="001236D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981367">
    <w:abstractNumId w:val="8"/>
  </w:num>
  <w:num w:numId="2" w16cid:durableId="919219403">
    <w:abstractNumId w:val="6"/>
  </w:num>
  <w:num w:numId="3" w16cid:durableId="133644969">
    <w:abstractNumId w:val="5"/>
  </w:num>
  <w:num w:numId="4" w16cid:durableId="1119378261">
    <w:abstractNumId w:val="4"/>
  </w:num>
  <w:num w:numId="5" w16cid:durableId="1302616954">
    <w:abstractNumId w:val="7"/>
  </w:num>
  <w:num w:numId="6" w16cid:durableId="1550654749">
    <w:abstractNumId w:val="3"/>
  </w:num>
  <w:num w:numId="7" w16cid:durableId="1349671271">
    <w:abstractNumId w:val="2"/>
  </w:num>
  <w:num w:numId="8" w16cid:durableId="2119789981">
    <w:abstractNumId w:val="1"/>
  </w:num>
  <w:num w:numId="9" w16cid:durableId="81449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6D1"/>
    <w:rsid w:val="0015074B"/>
    <w:rsid w:val="0029639D"/>
    <w:rsid w:val="00326F90"/>
    <w:rsid w:val="00395036"/>
    <w:rsid w:val="00663E42"/>
    <w:rsid w:val="00AA1D8D"/>
    <w:rsid w:val="00B47730"/>
    <w:rsid w:val="00BA31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FEFF7F-FADD-4674-8F87-44A13047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2026-09-12T01:30:00Z</dcterms:modified>
  <cp:category/>
</cp:coreProperties>
</file>