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Diagrama de clases y componentes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DD-03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Criterio</w:t>
      </w:r>
    </w:p>
    <w:p>
      <w:pPr>
        <w:spacing w:after="120"/>
        <w:jc w:val="both"/>
      </w:pPr>
      <w:r>
        <w:rPr>
          <w:b w:val="0"/>
          <w:i w:val="0"/>
        </w:rPr>
        <w:t>La vista combina clases de dominio y componentes técnicos del alcance Capstone. No reemplaza el modelo físico PostgreSQL. Los componentes IndexedDB/Outbox/SyncService pertenecen al cliente PWA y no son tablas del servidor.</w:t>
      </w:r>
    </w:p>
    <w:p>
      <w:pPr>
        <w:pStyle w:val="Heading1"/>
      </w:pPr>
      <w:r>
        <w:t>2. Diagrama actualizado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895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_componentes_fas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Vista conceptual de clases/componentes Fase 2.</w:t>
      </w:r>
    </w:p>
    <w:p>
      <w:pPr>
        <w:pStyle w:val="Heading1"/>
      </w:pPr>
      <w:r>
        <w:t>3.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Clase / componente</w:t>
            </w:r>
          </w:p>
        </w:tc>
        <w:tc>
          <w:tcPr>
            <w:tcW w:type="dxa" w:w="604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Empresa / Usuario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Contexto organizacional, identidad, roles y actor confiable.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Existente/estabilizado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Planta / Máquina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Contexto de activo y pertenencia empresarial.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OrdenTrabajo / OTFoto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Gestión de mantenimiento y evidencia visual.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Existente/estabilizado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ChecklistPlantilla / ChecklistItem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Definición versionada del checklist.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I1.2-B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OTChecklist / Respuesta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Instancia por OT y respuestas con revisión/actor.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I1.2-B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SystemAuditLog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Trazabilidad persistente por empresa/actor/entidad/acción.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núcleo P0.7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IndexedDB / Outbox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Persistencia local y cola de operaciones.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 Shell/cache implementado; cola completa en evolución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SyncService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Reintentos, idempotencia y conflictos.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I1.3-C en curso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Manual/fragmentos RAG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Contenido para contingencia técnica.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ReportRequest / PDF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Solicitud y generación de reporte gerencial.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DD-03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