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微软雅黑" w:hAnsi="微软雅黑" w:eastAsia="微软雅黑" w:cs="微软雅黑"/>
          <w:b/>
          <w:sz w:val="44"/>
        </w:rPr>
        <w:t>港口集团智能审核项目应用服务器配置需求单</w:t>
      </w:r>
    </w:p>
    <w:p>
      <w:pPr>
        <w:spacing w:before="0" w:after="240"/>
        <w:jc w:val="both"/>
        <w:ind w:firstLineChars="200" w:firstLine="420"/>
      </w:pPr>
      <w:r>
        <w:rPr>
          <w:rFonts w:ascii="微软雅黑" w:hAnsi="微软雅黑" w:eastAsia="微软雅黑" w:cs="微软雅黑"/>
          <w:b w:val="0"/>
          <w:sz w:val="24"/>
        </w:rPr>
        <w:t>（初版· 2026年10月26日）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一、编制说明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本配置单依据2026年10月26日待办清单第9项编制：按服务范围（财智公司与十个二级单位）评估并提供应用服务器需求配置。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本期系统采用容器化部署，包含前端、后端应用、数据库三个组件（详见第二节），不依赖GPU，智能识别能力通过外部大模型服务接口调用，服务器仅需具备访问相关服务的网络条件。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本版为初版：单据量、账号数等规模参数暂按典型规模估算（依据见第三节），待贵方确认实际规模数据后，我方当日更新终版，不阻塞采购流程。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二、部署架构与组件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全部组件以Docker容器方式部署在一台应用服务器上，内部分组隔离，对外仅暴露一个访问端口（默认8900，可按贵方要求调整）。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1744"/>
        <w:gridCol w:w="2260"/>
        <w:gridCol w:w="2019"/>
        <w:gridCol w:w="2936"/>
      </w:tblGrid>
      <w:tr>
        <w:tc>
          <w:tcPr>
            <w:tcW w:type="dxa" w:w="174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0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019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936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资源特征</w:t>
            </w:r>
          </w:p>
        </w:tc>
      </w:tr>
      <w:tr>
        <w:tc>
          <w:tcPr>
            <w:tcW w:type="dxa" w:w="17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前端服务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Nginx（静态页面）</w:t>
            </w:r>
          </w:p>
        </w:tc>
        <w:tc>
          <w:tcPr>
            <w:tcW w:type="dxa" w:w="201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网页界面，代理接口</w:t>
            </w:r>
          </w:p>
        </w:tc>
        <w:tc>
          <w:tcPr>
            <w:tcW w:type="dxa" w:w="29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轻量，常驻内存约几十MB</w:t>
            </w:r>
          </w:p>
        </w:tc>
      </w:tr>
      <w:tr>
        <w:tc>
          <w:tcPr>
            <w:tcW w:type="dxa" w:w="17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后端应用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Python/FastAPI</w:t>
            </w:r>
          </w:p>
        </w:tc>
        <w:tc>
          <w:tcPr>
            <w:tcW w:type="dxa" w:w="201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审核引擎、接口、调度</w:t>
            </w:r>
          </w:p>
        </w:tc>
        <w:tc>
          <w:tcPr>
            <w:tcW w:type="dxa" w:w="29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常驻内存约1–2GB，跑批时CPU占用上升</w:t>
            </w:r>
          </w:p>
        </w:tc>
      </w:tr>
      <w:tr>
        <w:tc>
          <w:tcPr>
            <w:tcW w:type="dxa" w:w="174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数据库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PostgreSQL 16（含时序扩展）</w:t>
            </w:r>
          </w:p>
        </w:tc>
        <w:tc>
          <w:tcPr>
            <w:tcW w:type="dxa" w:w="201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业务数据、审计留痕</w:t>
            </w:r>
          </w:p>
        </w:tc>
        <w:tc>
          <w:tcPr>
            <w:tcW w:type="dxa" w:w="29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常驻内存约1GB，数据盘主要占用方</w:t>
            </w:r>
          </w:p>
        </w:tc>
      </w:tr>
      <w:tr>
        <w:tc>
          <w:tcPr>
            <w:tcW w:type="dxa" w:w="174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OCR组件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Tesseract（随容器内置）</w:t>
            </w:r>
          </w:p>
        </w:tc>
        <w:tc>
          <w:tcPr>
            <w:tcW w:type="dxa" w:w="201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扫描件文字识别</w:t>
            </w:r>
          </w:p>
        </w:tc>
        <w:tc>
          <w:tcPr>
            <w:tcW w:type="dxa" w:w="29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CPU型负载，无需GPU</w:t>
            </w:r>
          </w:p>
        </w:tc>
      </w:tr>
      <w:tr>
        <w:tc>
          <w:tcPr>
            <w:tcW w:type="dxa" w:w="174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大模型服务</w:t>
            </w:r>
          </w:p>
        </w:tc>
        <w:tc>
          <w:tcPr>
            <w:tcW w:type="dxa" w:w="226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外部API（国内厂商，密钥加密存储）</w:t>
            </w:r>
          </w:p>
        </w:tc>
        <w:tc>
          <w:tcPr>
            <w:tcW w:type="dxa" w:w="201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规则抽取、附件识别、辅助研判</w:t>
            </w:r>
          </w:p>
        </w:tc>
        <w:tc>
          <w:tcPr>
            <w:tcW w:type="dxa" w:w="29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不占本机算力，仅网络调用</w:t>
            </w:r>
          </w:p>
        </w:tc>
      </w:tr>
    </w:tbl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1"/>
        </w:rPr>
        <w:t>说明：智能环节全部走外部大模型服务接口，如贵方要求改用本地化模型部署（信创或数据不出域场景），硬件需求将显著变化，需另行评估，请提前告知。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三、服务范围与规模测算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服务范围为财智公司与十个二级单位。二级单位名单以贵方确认为准，下表为按集团公开组织架构整理的参考名单：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784"/>
        <w:gridCol w:w="3470"/>
        <w:gridCol w:w="784"/>
        <w:gridCol w:w="3920"/>
      </w:tblGrid>
      <w:tr>
        <w:tc>
          <w:tcPr>
            <w:tcW w:type="dxa" w:w="78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470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78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920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单位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1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财智分公司（共享中心）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7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福州港务集团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2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福建省交通运输集团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8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莆田港务集团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3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厦门港务控股集团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9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福建省海运集团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4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宁德港务集团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10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闽运集团（省汽车运输集团）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5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泉州港务集团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11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八方物流（或东南守押，待确认）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6</w:t>
            </w:r>
          </w:p>
        </w:tc>
        <w:tc>
          <w:tcPr>
            <w:tcW w:type="dxa" w:w="34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漳州港务集团</w:t>
            </w:r>
          </w:p>
        </w:tc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12</w:t>
            </w:r>
          </w:p>
        </w:tc>
        <w:tc>
          <w:tcPr>
            <w:tcW w:type="dxa" w:w="39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20"/>
              </w:rPr>
              <w:t>平潭综合实验区港务发展</w:t>
            </w:r>
          </w:p>
        </w:tc>
      </w:tr>
    </w:tbl>
    <w:p>
      <w:pPr>
        <w:spacing w:before="0" w:after="40"/>
      </w:pP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规模测算参数与依据如下（实测样本：贵方交付的40张真实报账单及219张附件，已在系统中完整运行）：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2499"/>
        <w:gridCol w:w="2179"/>
        <w:gridCol w:w="4279"/>
      </w:tblGrid>
      <w:tr>
        <w:tc>
          <w:tcPr>
            <w:tcW w:type="dxa" w:w="2499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测算项</w:t>
            </w:r>
          </w:p>
        </w:tc>
        <w:tc>
          <w:tcPr>
            <w:tcW w:type="dxa" w:w="2179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取值</w:t>
            </w:r>
          </w:p>
        </w:tc>
        <w:tc>
          <w:tcPr>
            <w:tcW w:type="dxa" w:w="4279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覆盖单位数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11家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财智分公司+十个二级单位（待确认名单）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覆盖员工规模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约2万–2.5万人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按集团近4万人的主要业务单位估算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年差旅报账单量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约8万–12万单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参照共享平台年审核量40万单（226家企业）口径，11家主要单位按占比20%–30%折算，并经员工数复核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单均附件与图片体积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5–10 MB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实测40张真实单附件219张图片共37MB（平均1.7MB/单）；生产环境按每单5–15张手机拍摄发票/审批单原图、单图0.5–2MB估算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年新增存储（附件为主）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约0.6–1.2 TB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8–12万单× 5–10MB/单，附件原图为主要占用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系统账号数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300–800个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各单位报账员、各级审核、领导查询及系统管理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高峰并发在线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≤100人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月初报销高峰集中提单与审核</w:t>
            </w:r>
          </w:p>
        </w:tc>
      </w:tr>
      <w:tr>
        <w:tc>
          <w:tcPr>
            <w:tcW w:type="dxa" w:w="249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跑批吞吐（8核参考）</w:t>
            </w:r>
          </w:p>
        </w:tc>
        <w:tc>
          <w:tcPr>
            <w:tcW w:type="dxa" w:w="21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≥1000单/小时</w:t>
            </w:r>
          </w:p>
        </w:tc>
        <w:tc>
          <w:tcPr>
            <w:tcW w:type="dxa" w:w="427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实测单笔规则链路0.4秒，含模型补判按秒级计</w:t>
            </w:r>
          </w:p>
        </w:tc>
      </w:tr>
    </w:tbl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1"/>
        </w:rPr>
        <w:t>注：以上为初版估算口径。请贵方协助确认三项——二级单位名单、年差旅单量（或近一年报账单导出量）、账号规模，确认后我方当日出具终版。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四、服务器配置需求</w:t>
      </w:r>
    </w:p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4"/>
        </w:rPr>
        <w:t>按两个阶段给出配置。两个阶段架构相同，生产配置满足三年数据增长与月初报销高峰，无需更换架构。</w:t>
      </w:r>
    </w:p>
    <w:p>
      <w:pPr>
        <w:spacing w:before="80" w:after="120"/>
        <w:ind w:firstLineChars="200" w:firstLine="420"/>
        <w:jc w:val="both"/>
      </w:pPr>
      <w:r>
        <w:rPr>
          <w:rFonts w:ascii="微软雅黑" w:hAnsi="微软雅黑" w:eastAsia="微软雅黑" w:cs="微软雅黑"/>
          <w:b/>
          <w:sz w:val="24"/>
        </w:rPr>
        <w:t>（一）试点/测试阶段（1台，验证与首批单位上线）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2064"/>
        <w:gridCol w:w="3567"/>
        <w:gridCol w:w="3328"/>
      </w:tblGrid>
      <w:tr>
        <w:tc>
          <w:tcPr>
            <w:tcW w:type="dxa" w:w="206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567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配置需求</w:t>
            </w:r>
          </w:p>
        </w:tc>
        <w:tc>
          <w:tcPr>
            <w:tcW w:type="dxa" w:w="3328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CPU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4 vCPU及以上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Intel/AMD x86_64主流型号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内存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16 GB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三容器+OCR并发+月初跑批峰值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系统盘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100 GB SSD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操作系统+Docker+镜像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数据盘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500 GB SSD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按1万单试点、附件原图为主，保留1年估，支持在线扩容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操作系统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Ubuntu 22.04/24.04 LTS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或CentOS 7.9+/银河麒麟V10等，信创需求请提前告知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Docker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24.0及以上（含compose插件）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服务器可访问镜像仓库或允许离线导入</w:t>
            </w:r>
          </w:p>
        </w:tc>
      </w:tr>
      <w:tr>
        <w:tc>
          <w:tcPr>
            <w:tcW w:type="dxa" w:w="206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网络</w:t>
            </w:r>
          </w:p>
        </w:tc>
        <w:tc>
          <w:tcPr>
            <w:tcW w:type="dxa" w:w="35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千兆网卡，可访问互联网（443出站）</w:t>
            </w:r>
          </w:p>
        </w:tc>
        <w:tc>
          <w:tcPr>
            <w:tcW w:type="dxa" w:w="332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大模型服务API调用</w:t>
            </w:r>
          </w:p>
        </w:tc>
      </w:tr>
    </w:tbl>
    <w:p>
      <w:pPr>
        <w:spacing w:before="160" w:after="120"/>
        <w:ind w:firstLineChars="200" w:firstLine="420"/>
        <w:jc w:val="both"/>
      </w:pPr>
      <w:r>
        <w:rPr>
          <w:rFonts w:ascii="微软雅黑" w:hAnsi="微软雅黑" w:eastAsia="微软雅黑" w:cs="微软雅黑"/>
          <w:b/>
          <w:sz w:val="24"/>
        </w:rPr>
        <w:t>（二）生产阶段（1台，11家单位全部上线）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1987"/>
        <w:gridCol w:w="3458"/>
        <w:gridCol w:w="3513"/>
      </w:tblGrid>
      <w:tr>
        <w:tc>
          <w:tcPr>
            <w:tcW w:type="dxa" w:w="1987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458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配置需求</w:t>
            </w:r>
          </w:p>
        </w:tc>
        <w:tc>
          <w:tcPr>
            <w:tcW w:type="dxa" w:w="3513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CPU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8 vCPU及以上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月初高峰跑批与OCR并行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内存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32 GB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数据库缓冲+应用+OCR峰值余量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系统盘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100 GB SSD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同上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数据盘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4 TB SSD（建议支持在线扩容）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按年增0.6–1.2TB（附件原图为主）×3年+日志+6个月滚动备份估算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操作系统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同试点，与贵方虚拟化平台兼容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物理机或虚拟机均可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网络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千兆网卡；互联网出站带宽≥50 Mbps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附件批量上传与模型调用峰值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高可用（可选）</w:t>
            </w:r>
          </w:p>
        </w:tc>
        <w:tc>
          <w:tcPr>
            <w:tcW w:type="dxa" w:w="345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第二台同配置做主备</w:t>
            </w:r>
          </w:p>
        </w:tc>
        <w:tc>
          <w:tcPr>
            <w:tcW w:type="dxa" w:w="351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POC与首期不要求；上线稳定后按需决策</w:t>
            </w:r>
          </w:p>
        </w:tc>
      </w:tr>
    </w:tbl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1"/>
        </w:rPr>
        <w:t>注：如贵方IT规范要求数据库独立部署或双机高可用，可在终版中按贵方规范调整拆分方案（应用服务器+数据库服务器各一台），总资源量不变。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五、网络与环境要求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784"/>
        <w:gridCol w:w="3418"/>
        <w:gridCol w:w="4756"/>
      </w:tblGrid>
      <w:tr>
        <w:tc>
          <w:tcPr>
            <w:tcW w:type="dxa" w:w="78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418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4756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34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服务器可访问互联网（HTTPS 443出站）</w:t>
            </w:r>
          </w:p>
        </w:tc>
        <w:tc>
          <w:tcPr>
            <w:tcW w:type="dxa" w:w="47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调用大模型服务API（国内厂商）；如需走代理或网关白名单，请提供代理地址或将厂商API域名加入白名单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34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内网用户可访问服务器指定端口（默认8900）</w:t>
            </w:r>
          </w:p>
        </w:tc>
        <w:tc>
          <w:tcPr>
            <w:tcW w:type="dxa" w:w="47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浏览器访问，无客户端安装；端口可按贵方规划调整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34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如与OA/共享平台对接</w:t>
            </w:r>
          </w:p>
        </w:tc>
        <w:tc>
          <w:tcPr>
            <w:tcW w:type="dxa" w:w="47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需开放相应接口网络策略（本期不涉及，预留说明）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type="dxa" w:w="341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服务器时间同步（NTP）</w:t>
            </w:r>
          </w:p>
        </w:tc>
        <w:tc>
          <w:tcPr>
            <w:tcW w:type="dxa" w:w="475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审计留痕时间准确性要求</w:t>
            </w:r>
          </w:p>
        </w:tc>
      </w:tr>
    </w:tbl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六、备份与运维要求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1.数据库每日全量备份，保留6个月；备份数据与数据盘分目录存放（有条件放独立存储）。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2.附件与制度文件为原始凭证数据，随数据盘备份策略一并覆盖。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3.大模型密钥加密存储于数据库，不出现在配置文件与日志中。</w:t>
      </w:r>
    </w:p>
    <w:p>
      <w:pPr>
        <w:spacing w:before="0" w:after="120"/>
      </w:pPr>
      <w:r>
        <w:rPr>
          <w:rFonts w:ascii="微软雅黑" w:hAnsi="微软雅黑" w:eastAsia="微软雅黑" w:cs="微软雅黑"/>
          <w:b w:val="0"/>
          <w:sz w:val="24"/>
        </w:rPr>
        <w:t>4.系统升级采用容器镜像替换方式，可回滚；升级窗口建议避开月初报销高峰。</w:t>
      </w:r>
    </w:p>
    <w:p>
      <w:pPr>
        <w:spacing w:before="280" w:after="160"/>
      </w:pPr>
      <w:r>
        <w:rPr>
          <w:rFonts w:ascii="微软雅黑" w:hAnsi="微软雅黑" w:eastAsia="微软雅黑" w:cs="微软雅黑"/>
          <w:b/>
          <w:sz w:val="30"/>
        </w:rPr>
        <w:t>七、待贵方确认事项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Grid"/>
        <w:tblW w:type="pct" w:w="5000"/>
        <w:jc w:val="center"/>
        <w:tblLook w:firstColumn="1" w:firstRow="1" w:lastColumn="0" w:lastRow="0" w:noHBand="0" w:noVBand="1" w:val="04A0"/>
        <w:tblCellMar>
          <w:top w:w="80" w:type="dxa"/>
          <w:left w:w="72" w:type="dxa"/>
          <w:bottom w:w="80" w:type="dxa"/>
          <w:right w:w="72" w:type="dxa"/>
        </w:tblCellMar>
        <w:tblLayout w:type="fixed"/>
      </w:tblPr>
      <w:tblGrid>
        <w:gridCol w:w="784"/>
        <w:gridCol w:w="4421"/>
        <w:gridCol w:w="3753"/>
      </w:tblGrid>
      <w:tr>
        <w:tc>
          <w:tcPr>
            <w:tcW w:type="dxa" w:w="784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421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753"/>
            <w:vAlign w:val="center"/>
            <w:shd w:val="clear" w:color="auto" w:fill="000000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</w:rPr>
            </w:r>
            <w:r>
              <w:rPr>
                <w:rFonts w:ascii="微软雅黑" w:hAnsi="微软雅黑" w:eastAsia="微软雅黑" w:cs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1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十个二级单位确认名单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规模测算终版、账号与单位数据准备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2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近一年差旅报账单量（或全量报账单量及差旅占比）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存储与跑批吞吐校准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3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预计账号数（审核岗/报账员/领导查询）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并发与权限配置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4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是否要求信创环境（国产芯片/操作系统/数据库）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如要求，需另行验证并调整配置单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5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是否要求HTTPS、与内网统一认证（SSO）对接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部署方案补充安全与对接配置</w:t>
            </w:r>
          </w:p>
        </w:tc>
      </w:tr>
      <w:tr>
        <w:tc>
          <w:tcPr>
            <w:tcW w:type="dxa" w:w="78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6</w:t>
            </w:r>
          </w:p>
        </w:tc>
        <w:tc>
          <w:tcPr>
            <w:tcW w:type="dxa" w:w="44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服务器提供方式（贵方虚拟化平台/物理机/云）</w:t>
            </w:r>
          </w:p>
        </w:tc>
        <w:tc>
          <w:tcPr>
            <w:tcW w:type="dxa" w:w="375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 w:cs="微软雅黑"/>
              </w:rPr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镜像导入与上线方式确认</w:t>
            </w:r>
          </w:p>
        </w:tc>
      </w:tr>
    </w:tbl>
    <w:p>
      <w:pPr>
        <w:spacing w:before="0" w:after="120"/>
        <w:ind w:firstLineChars="200" w:firstLine="420"/>
        <w:jc w:val="both"/>
      </w:pPr>
      <w:r>
        <w:rPr>
          <w:rFonts w:ascii="微软雅黑" w:hAnsi="微软雅黑" w:eastAsia="微软雅黑" w:cs="微软雅黑"/>
          <w:b w:val="0"/>
          <w:sz w:val="21"/>
        </w:rPr>
        <w:t>确认后我方当日更新终版配置单；服务器到位即可启动部署（按排期计划11月2日当周实施）。</w:t>
      </w:r>
    </w:p>
    <w:sectPr w:rsidR="00FC693F" w:rsidRPr="0006063C" w:rsidSect="00034616"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