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DC843">
      <w:pPr>
        <w:spacing w:before="2200" w:after="200"/>
        <w:jc w:val="center"/>
        <w:outlineLvl w:val="0"/>
      </w:pPr>
      <w:r>
        <w:rPr>
          <w:rFonts w:hint="eastAsia" w:ascii="Arial" w:hAnsi="Arial" w:eastAsia="黑体"/>
          <w:b/>
          <w:sz w:val="32"/>
        </w:rPr>
        <w:t>华电智能审核项目实在智能产品评估报告</w:t>
      </w:r>
    </w:p>
    <w:p w14:paraId="3095A6A4">
      <w:pPr>
        <w:spacing w:after="200"/>
        <w:jc w:val="center"/>
        <w:outlineLvl w:val="0"/>
      </w:pPr>
      <w:r>
        <w:rPr>
          <w:rFonts w:hint="eastAsia" w:ascii="Times New Roman" w:hAnsi="Times New Roman" w:eastAsia="宋体"/>
          <w:color w:val="595959"/>
          <w:sz w:val="21"/>
        </w:rPr>
        <w:t>内部产品调研报告</w:t>
      </w:r>
    </w:p>
    <w:p w14:paraId="6959F8D1">
      <w:pPr>
        <w:spacing w:before="0" w:after="560" w:line="360" w:lineRule="auto"/>
        <w:jc w:val="center"/>
        <w:outlineLvl w:val="0"/>
      </w:pPr>
      <w:r>
        <w:rPr>
          <w:rFonts w:hint="eastAsia" w:ascii="Times New Roman" w:hAnsi="Times New Roman" w:eastAsia="宋体"/>
          <w:sz w:val="21"/>
        </w:rPr>
        <w:t>2026年10月19日</w:t>
      </w:r>
    </w:p>
    <w:p w14:paraId="0569E165">
      <w:pPr>
        <w:pageBreakBefore/>
        <w:spacing w:before="240" w:after="120" w:line="312" w:lineRule="auto"/>
        <w:outlineLvl w:val="0"/>
      </w:pPr>
      <w:r>
        <w:rPr>
          <w:rFonts w:hint="eastAsia" w:ascii="Arial" w:hAnsi="Arial" w:eastAsia="黑体"/>
          <w:b/>
          <w:sz w:val="28"/>
        </w:rPr>
        <w:t>一、调研背景与目的</w:t>
      </w:r>
    </w:p>
    <w:p w14:paraId="602DAA70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（一）项目背景</w:t>
      </w:r>
    </w:p>
    <w:p w14:paraId="27F6BC2D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华电集团所属福建公司智能审核系统由实在智能承建，目前已进入稳定运行阶段，覆盖单据接入、要素识别、规则审核与人工复核的完整链路，并积累了可观测的效率与准确率数据。该系统面向集团型企业多级制度并行审核场景，在规则组织、算力部署与运营机制上具有代表性，对我方智能审核产品规划及福建港口集团POC实施具有直接参照价值。</w:t>
      </w:r>
    </w:p>
    <w:p w14:paraId="4A6C3FA0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（二）调研目的与方法</w:t>
      </w:r>
    </w:p>
    <w:p w14:paraId="15ABB0A3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本次调研围绕三个问题展开。</w:t>
      </w:r>
      <w:r>
        <w:rPr>
          <w:rFonts w:hint="eastAsia" w:ascii="Times New Roman" w:hAnsi="Times New Roman" w:eastAsia="宋体"/>
          <w:b/>
          <w:sz w:val="21"/>
        </w:rPr>
        <w:t>一是</w:t>
      </w:r>
      <w:r>
        <w:rPr>
          <w:rFonts w:hint="eastAsia" w:ascii="Times New Roman" w:hAnsi="Times New Roman" w:eastAsia="宋体"/>
          <w:sz w:val="21"/>
        </w:rPr>
        <w:t>系统如何组织单据、规则、模板与组织四类要素；</w:t>
      </w:r>
      <w:r>
        <w:rPr>
          <w:rFonts w:hint="eastAsia" w:ascii="Times New Roman" w:hAnsi="Times New Roman" w:eastAsia="宋体"/>
          <w:b/>
          <w:sz w:val="21"/>
        </w:rPr>
        <w:t>二是</w:t>
      </w:r>
      <w:r>
        <w:rPr>
          <w:rFonts w:hint="eastAsia" w:ascii="Times New Roman" w:hAnsi="Times New Roman" w:eastAsia="宋体"/>
          <w:sz w:val="21"/>
        </w:rPr>
        <w:t>效率与准确率达到何种水平，提升来自哪些环节；</w:t>
      </w:r>
      <w:r>
        <w:rPr>
          <w:rFonts w:hint="eastAsia" w:ascii="Times New Roman" w:hAnsi="Times New Roman" w:eastAsia="宋体"/>
          <w:b/>
          <w:sz w:val="21"/>
        </w:rPr>
        <w:t>三是</w:t>
      </w:r>
      <w:r>
        <w:rPr>
          <w:rFonts w:hint="eastAsia" w:ascii="Times New Roman" w:hAnsi="Times New Roman" w:eastAsia="宋体"/>
          <w:sz w:val="21"/>
        </w:rPr>
        <w:t>产品存在哪些结构性短板，可供我方形成差异化。</w:t>
      </w:r>
    </w:p>
    <w:p w14:paraId="334AE322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调研采用现场系统演示、运行数据查阅与技术交流三种方式，覆盖审核中心、规则中心、模板配置、组织管理、反馈助手、测试平台与压测平台。现场口述中亦出现“时代智能”的称谓，本文统一表述为实在智能。本报告仅记录产品能力、技术路线与运行数据，不涉及商务安排、客户关系及人员信息。</w:t>
      </w:r>
    </w:p>
    <w:p w14:paraId="4A98E101">
      <w:pPr>
        <w:spacing w:before="200" w:after="80" w:line="312" w:lineRule="auto"/>
        <w:outlineLvl w:val="1"/>
      </w:pPr>
      <w:bookmarkStart w:id="0" w:name="_GoBack"/>
      <w:bookmarkEnd w:id="0"/>
      <w:r>
        <w:rPr>
          <w:rFonts w:hint="eastAsia" w:ascii="Arial" w:hAnsi="Arial" w:eastAsia="黑体"/>
          <w:b/>
          <w:sz w:val="24"/>
        </w:rPr>
        <w:t>（三）总体结论</w:t>
      </w:r>
    </w:p>
    <w:p w14:paraId="35D21F1D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调研结论集中在三点。</w:t>
      </w:r>
    </w:p>
    <w:p w14:paraId="286FAF90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一是</w:t>
      </w:r>
      <w:r>
        <w:rPr>
          <w:rFonts w:hint="eastAsia" w:ascii="Times New Roman" w:hAnsi="Times New Roman" w:eastAsia="宋体"/>
          <w:b w:val="0"/>
          <w:sz w:val="21"/>
        </w:rPr>
        <w:t>效率提升主要来自规则工程化。规则压缩与重复审核点消除贡献了绝大部分吞吐提升，模型本身未发生代际变化。</w:t>
      </w:r>
    </w:p>
    <w:p w14:paraId="07212782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二是</w:t>
      </w:r>
      <w:r>
        <w:rPr>
          <w:rFonts w:hint="eastAsia" w:ascii="Times New Roman" w:hAnsi="Times New Roman" w:eastAsia="宋体"/>
          <w:b w:val="0"/>
          <w:sz w:val="21"/>
        </w:rPr>
        <w:t>识别稳定性与审核准确率仍是主要短板。转人工单据中约85%属于系统误判，人工复核成本抵销了相当部分的自动化收益。</w:t>
      </w:r>
    </w:p>
    <w:p w14:paraId="38C722DD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三是</w:t>
      </w:r>
      <w:r>
        <w:rPr>
          <w:rFonts w:hint="eastAsia" w:ascii="Times New Roman" w:hAnsi="Times New Roman" w:eastAsia="宋体"/>
          <w:b w:val="0"/>
          <w:sz w:val="21"/>
        </w:rPr>
        <w:t>全大模型路线在可解释性与数据溯源性上存在结构性缺陷。审核结论可追溯至文档，但无法拆解至数据项，难以支撑统计分析与审计复核，这为我方以本体架构切入提供了明确空间。</w:t>
      </w:r>
    </w:p>
    <w:p w14:paraId="40906A00">
      <w:pPr>
        <w:spacing w:before="240" w:after="120" w:line="312" w:lineRule="auto"/>
        <w:outlineLvl w:val="0"/>
      </w:pPr>
      <w:r>
        <w:rPr>
          <w:rFonts w:hint="eastAsia" w:ascii="Arial" w:hAnsi="Arial" w:eastAsia="黑体"/>
          <w:b/>
          <w:sz w:val="28"/>
        </w:rPr>
        <w:t>二、产品定位与总体架构</w:t>
      </w:r>
    </w:p>
    <w:p w14:paraId="4A36B5A4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（一）产品定位</w:t>
      </w:r>
    </w:p>
    <w:p w14:paraId="609F4DA0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该系统定位为面向集团型企业的财务单据智能审核平台，采用本地化部署，以单据类型为作业入口，以语义化规则为核心资产，以人工修复为迭代手段，覆盖识别、审核、复核、反馈全流程。</w:t>
      </w:r>
    </w:p>
    <w:p w14:paraId="145DD40B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产品边界较为清晰。系统不承担业务办理，也不提供经营分析，核心产出是单笔单据的通过或驳回结论，以及支撑该结论的审核过程记录。</w:t>
      </w:r>
    </w:p>
    <w:p w14:paraId="79802F80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（二）总体架构</w:t>
      </w:r>
    </w:p>
    <w:p w14:paraId="5AC3D757">
      <w:pPr>
        <w:spacing w:before="0" w:after="60" w:line="360" w:lineRule="auto"/>
        <w:ind w:firstLine="420" w:firstLineChars="200"/>
        <w:jc w:val="both"/>
      </w:pPr>
      <w:r>
        <w:rPr>
          <w:rFonts w:hint="eastAsia"/>
          <w:sz w:val="21"/>
          <w:lang w:eastAsia="zh-CN"/>
        </w:rPr>
        <w:t>该系统</w:t>
      </w:r>
      <w:r>
        <w:rPr>
          <w:rFonts w:hint="eastAsia" w:ascii="Times New Roman" w:hAnsi="Times New Roman" w:eastAsia="宋体"/>
          <w:sz w:val="21"/>
        </w:rPr>
        <w:t>可划分为六层。</w:t>
      </w:r>
    </w:p>
    <w:p w14:paraId="6985845B">
      <w:pPr>
        <w:spacing w:before="0" w:after="60" w:line="360" w:lineRule="auto"/>
        <w:ind w:firstLine="422" w:firstLineChars="200"/>
        <w:jc w:val="both"/>
      </w:pPr>
      <w:r>
        <w:rPr>
          <w:rFonts w:hint="eastAsia"/>
          <w:b/>
          <w:bCs/>
          <w:sz w:val="21"/>
          <w:lang w:eastAsia="zh-CN"/>
        </w:rPr>
        <w:t>①</w:t>
      </w:r>
      <w:r>
        <w:rPr>
          <w:rFonts w:hint="eastAsia"/>
          <w:b/>
          <w:bCs/>
          <w:sz w:val="21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b/>
          <w:bCs/>
          <w:sz w:val="21"/>
        </w:rPr>
        <w:t>接入层</w:t>
      </w:r>
      <w:r>
        <w:rPr>
          <w:rFonts w:hint="eastAsia" w:ascii="Times New Roman" w:hAnsi="Times New Roman" w:eastAsia="宋体"/>
          <w:sz w:val="21"/>
        </w:rPr>
        <w:t>负责单据获取与附件下载，支持原文件回看与单据下载。</w:t>
      </w:r>
    </w:p>
    <w:p w14:paraId="42DF41D6">
      <w:pPr>
        <w:spacing w:before="0" w:after="60" w:line="360" w:lineRule="auto"/>
        <w:ind w:firstLine="422" w:firstLineChars="200"/>
        <w:jc w:val="both"/>
      </w:pPr>
      <w:r>
        <w:rPr>
          <w:rFonts w:hint="eastAsia"/>
          <w:b/>
          <w:bCs/>
          <w:sz w:val="21"/>
          <w:lang w:eastAsia="zh-CN"/>
        </w:rPr>
        <w:t>②</w:t>
      </w:r>
      <w:r>
        <w:rPr>
          <w:rFonts w:hint="eastAsia"/>
          <w:b/>
          <w:bCs/>
          <w:sz w:val="21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b/>
          <w:bCs/>
          <w:sz w:val="21"/>
        </w:rPr>
        <w:t>识别层</w:t>
      </w:r>
      <w:r>
        <w:rPr>
          <w:rFonts w:hint="eastAsia" w:ascii="Times New Roman" w:hAnsi="Times New Roman" w:eastAsia="宋体"/>
          <w:sz w:val="21"/>
        </w:rPr>
        <w:t>由纯视觉OCR、多模态与大语言模型三类模型分工完成要素抽取。</w:t>
      </w:r>
    </w:p>
    <w:p w14:paraId="394403CA">
      <w:pPr>
        <w:spacing w:before="0" w:after="60" w:line="360" w:lineRule="auto"/>
        <w:ind w:firstLine="422" w:firstLineChars="200"/>
        <w:jc w:val="both"/>
      </w:pPr>
      <w:r>
        <w:rPr>
          <w:rFonts w:hint="eastAsia"/>
          <w:b/>
          <w:bCs/>
          <w:sz w:val="21"/>
          <w:lang w:eastAsia="zh-CN"/>
        </w:rPr>
        <w:t>③</w:t>
      </w:r>
      <w:r>
        <w:rPr>
          <w:rFonts w:hint="eastAsia"/>
          <w:b/>
          <w:bCs/>
          <w:sz w:val="21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b/>
          <w:bCs/>
          <w:sz w:val="21"/>
        </w:rPr>
        <w:t>规则层</w:t>
      </w:r>
      <w:r>
        <w:rPr>
          <w:rFonts w:hint="eastAsia" w:ascii="Times New Roman" w:hAnsi="Times New Roman" w:eastAsia="宋体"/>
          <w:sz w:val="21"/>
        </w:rPr>
        <w:t>承载集团通用规则与区域、成员单位子规则，全部转换为语义规则。</w:t>
      </w:r>
    </w:p>
    <w:p w14:paraId="15358FF3">
      <w:pPr>
        <w:spacing w:before="0" w:after="60" w:line="360" w:lineRule="auto"/>
        <w:ind w:firstLine="422" w:firstLineChars="200"/>
        <w:jc w:val="both"/>
      </w:pPr>
      <w:r>
        <w:rPr>
          <w:rFonts w:hint="eastAsia"/>
          <w:b/>
          <w:bCs/>
          <w:sz w:val="21"/>
          <w:lang w:eastAsia="zh-CN"/>
        </w:rPr>
        <w:t>④</w:t>
      </w:r>
      <w:r>
        <w:rPr>
          <w:rFonts w:hint="eastAsia"/>
          <w:b/>
          <w:bCs/>
          <w:sz w:val="21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b/>
          <w:bCs/>
          <w:sz w:val="21"/>
        </w:rPr>
        <w:t>审核层</w:t>
      </w:r>
      <w:r>
        <w:rPr>
          <w:rFonts w:hint="eastAsia" w:ascii="Times New Roman" w:hAnsi="Times New Roman" w:eastAsia="宋体"/>
          <w:sz w:val="21"/>
        </w:rPr>
        <w:t>执行逐条判定，输出通过或驳回，并保留每条规则的判定过程。</w:t>
      </w:r>
    </w:p>
    <w:p w14:paraId="70A87775">
      <w:pPr>
        <w:spacing w:before="0" w:after="60" w:line="360" w:lineRule="auto"/>
        <w:ind w:firstLine="422" w:firstLineChars="200"/>
        <w:jc w:val="both"/>
      </w:pPr>
      <w:r>
        <w:rPr>
          <w:rFonts w:hint="eastAsia"/>
          <w:b/>
          <w:bCs/>
          <w:sz w:val="21"/>
          <w:lang w:eastAsia="zh-CN"/>
        </w:rPr>
        <w:t>⑤</w:t>
      </w:r>
      <w:r>
        <w:rPr>
          <w:rFonts w:hint="eastAsia"/>
          <w:b/>
          <w:bCs/>
          <w:sz w:val="21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b/>
          <w:bCs/>
          <w:sz w:val="21"/>
        </w:rPr>
        <w:t>运营层</w:t>
      </w:r>
      <w:r>
        <w:rPr>
          <w:rFonts w:hint="eastAsia" w:ascii="Times New Roman" w:hAnsi="Times New Roman" w:eastAsia="宋体"/>
          <w:sz w:val="21"/>
        </w:rPr>
        <w:t>提供人工修复、反馈助手、规则版本与组织权属管理。</w:t>
      </w:r>
    </w:p>
    <w:p w14:paraId="50835D37">
      <w:pPr>
        <w:spacing w:before="0" w:after="60" w:line="360" w:lineRule="auto"/>
        <w:ind w:firstLine="422" w:firstLineChars="200"/>
        <w:jc w:val="both"/>
      </w:pPr>
      <w:r>
        <w:rPr>
          <w:rFonts w:hint="eastAsia"/>
          <w:b/>
          <w:bCs/>
          <w:sz w:val="21"/>
          <w:lang w:eastAsia="zh-CN"/>
        </w:rPr>
        <w:t>⑥</w:t>
      </w:r>
      <w:r>
        <w:rPr>
          <w:rFonts w:hint="eastAsia"/>
          <w:b/>
          <w:bCs/>
          <w:sz w:val="21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b/>
          <w:bCs/>
          <w:sz w:val="21"/>
        </w:rPr>
        <w:t>度量层</w:t>
      </w:r>
      <w:r>
        <w:rPr>
          <w:rFonts w:hint="eastAsia" w:ascii="Times New Roman" w:hAnsi="Times New Roman" w:eastAsia="宋体"/>
          <w:sz w:val="21"/>
        </w:rPr>
        <w:t>由测试平台与压测平台构成，负责准确率回归与吞吐验证。</w:t>
      </w:r>
    </w:p>
    <w:p w14:paraId="7140F68B">
      <w:pPr>
        <w:keepNext/>
        <w:spacing w:before="160" w:after="60"/>
        <w:jc w:val="center"/>
      </w:pPr>
      <w:r>
        <w:rPr>
          <w:rFonts w:hint="eastAsia" w:ascii="Arial" w:hAnsi="Arial" w:eastAsia="黑体"/>
          <w:b/>
          <w:sz w:val="21"/>
        </w:rPr>
        <w:t>表1系统功能架构与现场观察</w:t>
      </w:r>
    </w:p>
    <w:tbl>
      <w:tblPr>
        <w:tblStyle w:val="33"/>
        <w:tblW w:w="82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395"/>
        <w:gridCol w:w="3317"/>
        <w:gridCol w:w="2914"/>
      </w:tblGrid>
      <w:tr w14:paraId="185F4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52" w:type="dxa"/>
            <w:shd w:val="clear" w:color="auto" w:fill="F0F0F0"/>
            <w:vAlign w:val="center"/>
          </w:tcPr>
          <w:p w14:paraId="4BE4568E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w="1395" w:type="dxa"/>
            <w:shd w:val="clear" w:color="auto" w:fill="F0F0F0"/>
            <w:vAlign w:val="center"/>
          </w:tcPr>
          <w:p w14:paraId="591C5E3E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w="3317" w:type="dxa"/>
            <w:shd w:val="clear" w:color="auto" w:fill="F0F0F0"/>
            <w:vAlign w:val="center"/>
          </w:tcPr>
          <w:p w14:paraId="540D2DDD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核心能力</w:t>
            </w:r>
          </w:p>
        </w:tc>
        <w:tc>
          <w:tcPr>
            <w:tcW w:w="2914" w:type="dxa"/>
            <w:shd w:val="clear" w:color="auto" w:fill="F0F0F0"/>
            <w:vAlign w:val="center"/>
          </w:tcPr>
          <w:p w14:paraId="7CE8D12D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现场观察</w:t>
            </w:r>
          </w:p>
        </w:tc>
      </w:tr>
      <w:tr w14:paraId="5CAAA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6921E445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w="1395" w:type="dxa"/>
            <w:vAlign w:val="center"/>
          </w:tcPr>
          <w:p w14:paraId="021D0834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单据接入</w:t>
            </w:r>
          </w:p>
        </w:tc>
        <w:tc>
          <w:tcPr>
            <w:tcW w:w="3317" w:type="dxa"/>
            <w:vAlign w:val="center"/>
          </w:tcPr>
          <w:p w14:paraId="099835DA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单据获取、附件下载、原文件回看</w:t>
            </w:r>
          </w:p>
        </w:tc>
        <w:tc>
          <w:tcPr>
            <w:tcW w:w="2914" w:type="dxa"/>
            <w:vAlign w:val="center"/>
          </w:tcPr>
          <w:p w14:paraId="387E518C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审核中心可直接调阅原始单据</w:t>
            </w:r>
          </w:p>
        </w:tc>
      </w:tr>
      <w:tr w14:paraId="261D9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3334F175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w="1395" w:type="dxa"/>
            <w:vAlign w:val="center"/>
          </w:tcPr>
          <w:p w14:paraId="757D0BF2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规则中心</w:t>
            </w:r>
          </w:p>
        </w:tc>
        <w:tc>
          <w:tcPr>
            <w:tcW w:w="3317" w:type="dxa"/>
            <w:vAlign w:val="center"/>
          </w:tcPr>
          <w:p w14:paraId="678AF20B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按单据类型组织规则，集团通用规则与区域、成员单位子规则分层</w:t>
            </w:r>
          </w:p>
        </w:tc>
        <w:tc>
          <w:tcPr>
            <w:tcW w:w="2914" w:type="dxa"/>
            <w:vAlign w:val="center"/>
          </w:tcPr>
          <w:p w14:paraId="543DA5F6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规则以语义描述为主，逻辑规则已转为语义规则</w:t>
            </w:r>
          </w:p>
        </w:tc>
      </w:tr>
      <w:tr w14:paraId="45630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470298FD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w="1395" w:type="dxa"/>
            <w:vAlign w:val="center"/>
          </w:tcPr>
          <w:p w14:paraId="0DC13579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模板管理</w:t>
            </w:r>
          </w:p>
        </w:tc>
        <w:tc>
          <w:tcPr>
            <w:tcW w:w="3317" w:type="dxa"/>
            <w:vAlign w:val="center"/>
          </w:tcPr>
          <w:p w14:paraId="6857F5C3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按单据类型定义抽取要素与审核点</w:t>
            </w:r>
          </w:p>
        </w:tc>
        <w:tc>
          <w:tcPr>
            <w:tcW w:w="2914" w:type="dxa"/>
            <w:vAlign w:val="center"/>
          </w:tcPr>
          <w:p w14:paraId="3A0E39C5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模板与规则中心联动，审核时动态调用</w:t>
            </w:r>
          </w:p>
        </w:tc>
      </w:tr>
      <w:tr w14:paraId="33352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1EFBA973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w="1395" w:type="dxa"/>
            <w:vAlign w:val="center"/>
          </w:tcPr>
          <w:p w14:paraId="0AE60E4A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组织管理</w:t>
            </w:r>
          </w:p>
        </w:tc>
        <w:tc>
          <w:tcPr>
            <w:tcW w:w="3317" w:type="dxa"/>
            <w:vAlign w:val="center"/>
          </w:tcPr>
          <w:p w14:paraId="76825EC9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公司层级、权属关系、职级与人员名单</w:t>
            </w:r>
          </w:p>
        </w:tc>
        <w:tc>
          <w:tcPr>
            <w:tcW w:w="2914" w:type="dxa"/>
            <w:vAlign w:val="center"/>
          </w:tcPr>
          <w:p w14:paraId="3F1A58B9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支持集团、区域、公司三级并行校验</w:t>
            </w:r>
          </w:p>
        </w:tc>
      </w:tr>
      <w:tr w14:paraId="7C238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1802CD36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w="1395" w:type="dxa"/>
            <w:vAlign w:val="center"/>
          </w:tcPr>
          <w:p w14:paraId="0B25BB13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审核中心</w:t>
            </w:r>
          </w:p>
        </w:tc>
        <w:tc>
          <w:tcPr>
            <w:tcW w:w="3317" w:type="dxa"/>
            <w:vAlign w:val="center"/>
          </w:tcPr>
          <w:p w14:paraId="070CDEE5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逐条规则判定、通过或驳回、过程留痕</w:t>
            </w:r>
          </w:p>
        </w:tc>
        <w:tc>
          <w:tcPr>
            <w:tcW w:w="2914" w:type="dxa"/>
            <w:vAlign w:val="center"/>
          </w:tcPr>
          <w:p w14:paraId="0A97FAB8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可查看每条规则的判定结果与驳回原因</w:t>
            </w:r>
          </w:p>
        </w:tc>
      </w:tr>
      <w:tr w14:paraId="0E9C8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22F37932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w="1395" w:type="dxa"/>
            <w:vAlign w:val="center"/>
          </w:tcPr>
          <w:p w14:paraId="10DFC137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人工修复</w:t>
            </w:r>
          </w:p>
        </w:tc>
        <w:tc>
          <w:tcPr>
            <w:tcW w:w="3317" w:type="dxa"/>
            <w:vAlign w:val="center"/>
          </w:tcPr>
          <w:p w14:paraId="286E8A2F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误审诊断、重新识别、补充规则</w:t>
            </w:r>
          </w:p>
        </w:tc>
        <w:tc>
          <w:tcPr>
            <w:tcW w:w="2914" w:type="dxa"/>
            <w:vAlign w:val="center"/>
          </w:tcPr>
          <w:p w14:paraId="4450B45E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修复结果可发布为公司规则或通用规则</w:t>
            </w:r>
          </w:p>
        </w:tc>
      </w:tr>
      <w:tr w14:paraId="7D963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6F0D51F5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w="1395" w:type="dxa"/>
            <w:vAlign w:val="center"/>
          </w:tcPr>
          <w:p w14:paraId="460542AA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反馈助手</w:t>
            </w:r>
          </w:p>
        </w:tc>
        <w:tc>
          <w:tcPr>
            <w:tcW w:w="3317" w:type="dxa"/>
            <w:vAlign w:val="center"/>
          </w:tcPr>
          <w:p w14:paraId="1D885846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误审记录留痕与迭代跟踪</w:t>
            </w:r>
          </w:p>
        </w:tc>
        <w:tc>
          <w:tcPr>
            <w:tcW w:w="2914" w:type="dxa"/>
            <w:vAlign w:val="center"/>
          </w:tcPr>
          <w:p w14:paraId="0F0AE613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现场可见历史误审记录及处理状态</w:t>
            </w:r>
          </w:p>
        </w:tc>
      </w:tr>
      <w:tr w14:paraId="002F6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697EC991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w="1395" w:type="dxa"/>
            <w:vAlign w:val="center"/>
          </w:tcPr>
          <w:p w14:paraId="228EE11B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版本管理</w:t>
            </w:r>
          </w:p>
        </w:tc>
        <w:tc>
          <w:tcPr>
            <w:tcW w:w="3317" w:type="dxa"/>
            <w:vAlign w:val="center"/>
          </w:tcPr>
          <w:p w14:paraId="68C6ECFB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规则集版本、生效日期、启停</w:t>
            </w:r>
          </w:p>
        </w:tc>
        <w:tc>
          <w:tcPr>
            <w:tcW w:w="2914" w:type="dxa"/>
            <w:vAlign w:val="center"/>
          </w:tcPr>
          <w:p w14:paraId="1AA26A76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保留版本长期有效，删除即停用</w:t>
            </w:r>
          </w:p>
        </w:tc>
      </w:tr>
      <w:tr w14:paraId="223B2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49A5D07E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9</w:t>
            </w:r>
          </w:p>
        </w:tc>
        <w:tc>
          <w:tcPr>
            <w:tcW w:w="1395" w:type="dxa"/>
            <w:vAlign w:val="center"/>
          </w:tcPr>
          <w:p w14:paraId="6ADC44AE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测试平台</w:t>
            </w:r>
          </w:p>
        </w:tc>
        <w:tc>
          <w:tcPr>
            <w:tcW w:w="3317" w:type="dxa"/>
            <w:vAlign w:val="center"/>
          </w:tcPr>
          <w:p w14:paraId="1BD40E87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历史单据重跑、准确率统计</w:t>
            </w:r>
          </w:p>
        </w:tc>
        <w:tc>
          <w:tcPr>
            <w:tcW w:w="2914" w:type="dxa"/>
            <w:vAlign w:val="center"/>
          </w:tcPr>
          <w:p w14:paraId="57E5756E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与生产环境数据隔离</w:t>
            </w:r>
          </w:p>
        </w:tc>
      </w:tr>
      <w:tr w14:paraId="7410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60E47DA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w="1395" w:type="dxa"/>
            <w:vAlign w:val="center"/>
          </w:tcPr>
          <w:p w14:paraId="59445DDC">
            <w:pPr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压测平台</w:t>
            </w:r>
          </w:p>
        </w:tc>
        <w:tc>
          <w:tcPr>
            <w:tcW w:w="3317" w:type="dxa"/>
            <w:vAlign w:val="center"/>
          </w:tcPr>
          <w:p w14:paraId="0BFB67F8">
            <w:pPr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数据集选择、压缩时长设定、吞吐测试</w:t>
            </w:r>
          </w:p>
        </w:tc>
        <w:tc>
          <w:tcPr>
            <w:tcW w:w="2914" w:type="dxa"/>
            <w:vAlign w:val="center"/>
          </w:tcPr>
          <w:p w14:paraId="3906FEFE">
            <w:pPr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独立部署，支持批量压测</w:t>
            </w:r>
          </w:p>
        </w:tc>
      </w:tr>
    </w:tbl>
    <w:p w14:paraId="17F8164A">
      <w:pPr>
        <w:spacing w:after="0" w:line="240" w:lineRule="auto"/>
      </w:pPr>
    </w:p>
    <w:p w14:paraId="70676631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（三）单笔审核流程</w:t>
      </w:r>
    </w:p>
    <w:p w14:paraId="5D255887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一笔单据进入系统后，依次经过模板匹配、要素抽取、规则匹配、模型判定与结论输出五个环节。</w:t>
      </w:r>
    </w:p>
    <w:p w14:paraId="219D4770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模板匹配按单据类型调取对应模板，确定本次需要抽取的字段与审核要素。要素抽取由纯视觉OCR模型完成，输出结构化字段。规则匹配同时装载集团、区域、公司三级适用制度，并按语义规则展开。模型判定将单据数据、抽取结果与规则描述组装为提示词，由大模型逐条或整组推理。结论输出分为通过与驳回，驳回单据进入人工复核，复核结果回流反馈助手。</w:t>
      </w:r>
    </w:p>
    <w:p w14:paraId="41CC89AC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该流程为串行结构，任一环节出错都会向后传递。识别环节的字段错误无法在规则环节被纠正，只会以误驳的形式暴露在人工复核端。这是该系统误驳率偏高的结构性原因。</w:t>
      </w:r>
    </w:p>
    <w:p w14:paraId="4BEAE948">
      <w:pPr>
        <w:spacing w:before="240" w:after="120" w:line="312" w:lineRule="auto"/>
        <w:outlineLvl w:val="0"/>
      </w:pPr>
      <w:r>
        <w:rPr>
          <w:rFonts w:hint="eastAsia" w:ascii="Arial" w:hAnsi="Arial" w:eastAsia="黑体"/>
          <w:b/>
          <w:sz w:val="28"/>
        </w:rPr>
        <w:t>三、核心功能模块</w:t>
      </w:r>
    </w:p>
    <w:p w14:paraId="1F2E8975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（一）单据类型与规则中心</w:t>
      </w:r>
    </w:p>
    <w:p w14:paraId="52A7A732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规则中心以业务单据类型为一级入口。该模块承担规则资产的组织与治理职能，规则依附于单据类型，不独立维护规则条目。</w:t>
      </w:r>
    </w:p>
    <w:p w14:paraId="03EAD90E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每个单据类型下挂两类规则。</w:t>
      </w:r>
      <w:r>
        <w:rPr>
          <w:rFonts w:hint="eastAsia" w:ascii="Times New Roman" w:hAnsi="Times New Roman" w:eastAsia="宋体"/>
          <w:b/>
          <w:bCs/>
          <w:sz w:val="21"/>
        </w:rPr>
        <w:t>一是</w:t>
      </w:r>
      <w:r>
        <w:rPr>
          <w:rFonts w:hint="eastAsia" w:ascii="Times New Roman" w:hAnsi="Times New Roman" w:eastAsia="宋体"/>
          <w:sz w:val="21"/>
        </w:rPr>
        <w:t>通用规则，由集团制度提取转化而来，覆盖共性管控要求；</w:t>
      </w:r>
      <w:r>
        <w:rPr>
          <w:rFonts w:hint="eastAsia" w:ascii="Times New Roman" w:hAnsi="Times New Roman" w:eastAsia="宋体"/>
          <w:b/>
          <w:bCs/>
          <w:sz w:val="21"/>
        </w:rPr>
        <w:t>二是</w:t>
      </w:r>
      <w:r>
        <w:rPr>
          <w:rFonts w:hint="eastAsia" w:ascii="Times New Roman" w:hAnsi="Times New Roman" w:eastAsia="宋体"/>
          <w:sz w:val="21"/>
        </w:rPr>
        <w:t>子规则，按区域与成员单位分别维护，销售公司、南平能源、新能公司、电力工程公司、水电公司均有独立规则集。审核时按集团、区域、公司三级分别校验，不采用前置短路。</w:t>
      </w:r>
    </w:p>
    <w:p w14:paraId="4217B4A7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这一设计使规则组织与集团管控结构保持一致，新增成员单位只需挂接子规则，不必重构审核流程。代价是同一审核点在三级制度中反复出现，审核条数随组织层级增加而膨胀，直接推高单笔耗时。</w:t>
      </w:r>
    </w:p>
    <w:p w14:paraId="7F9CCA55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规则治理提供三项能力。</w:t>
      </w:r>
      <w:r>
        <w:rPr>
          <w:rFonts w:hint="eastAsia" w:ascii="Times New Roman" w:hAnsi="Times New Roman" w:eastAsia="宋体"/>
          <w:b/>
          <w:bCs/>
          <w:sz w:val="21"/>
        </w:rPr>
        <w:t>一是</w:t>
      </w:r>
      <w:r>
        <w:rPr>
          <w:rFonts w:hint="eastAsia" w:ascii="Times New Roman" w:hAnsi="Times New Roman" w:eastAsia="宋体"/>
          <w:sz w:val="21"/>
        </w:rPr>
        <w:t>语义精简，合并集团与公司制度中的重复审核点，口径不一致时取宽口径，例如“30天”与“30个自然日”统一按自然日执行。</w:t>
      </w:r>
      <w:r>
        <w:rPr>
          <w:rFonts w:hint="eastAsia" w:ascii="Times New Roman" w:hAnsi="Times New Roman" w:eastAsia="宋体"/>
          <w:b/>
          <w:bCs/>
          <w:sz w:val="21"/>
        </w:rPr>
        <w:t>二是</w:t>
      </w:r>
      <w:r>
        <w:rPr>
          <w:rFonts w:hint="eastAsia" w:ascii="Times New Roman" w:hAnsi="Times New Roman" w:eastAsia="宋体"/>
          <w:sz w:val="21"/>
        </w:rPr>
        <w:t>规则启停，对完全重复的条款可单条停用，不参与当次审核。</w:t>
      </w:r>
      <w:r>
        <w:rPr>
          <w:rFonts w:hint="eastAsia" w:ascii="Times New Roman" w:hAnsi="Times New Roman" w:eastAsia="宋体"/>
          <w:b/>
          <w:bCs/>
          <w:sz w:val="21"/>
        </w:rPr>
        <w:t>三是</w:t>
      </w:r>
      <w:r>
        <w:rPr>
          <w:rFonts w:hint="eastAsia" w:ascii="Times New Roman" w:hAnsi="Times New Roman" w:eastAsia="宋体"/>
          <w:sz w:val="21"/>
        </w:rPr>
        <w:t>版本管理，规则集带版本号与生效日期，可按制度修订时间更新；保留版本长期有效，删除版本即停用。</w:t>
      </w:r>
    </w:p>
    <w:p w14:paraId="62FB9D2A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版本管理提供了制度时效的管理手段，但制度变更后的规则同步仍需人工确认，自动比对属于后续规划。这是规则运营的主要工作量来源。</w:t>
      </w:r>
    </w:p>
    <w:p w14:paraId="59A84ECF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（二）模板管理与要素抽取</w:t>
      </w:r>
    </w:p>
    <w:p w14:paraId="4CEFDA8D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模板按单据类型与费用类型配置。以业务招待费为例，模板定义费用时间等审核要素；以发票类为例，模板定义票面需提取的字段。审核时系统按单据类型调取模板，先抽取要素，再交由规则层理解与判定。</w:t>
      </w:r>
    </w:p>
    <w:p w14:paraId="36ADDBF8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模板机制将抽取范围与判定逻辑分离。抽取范围由模板固定，判定逻辑由规则描述，二者可独立迭代。现场演示中，模板抽取由纯视觉OCR模型完成，对票面结构依赖较强。</w:t>
      </w:r>
    </w:p>
    <w:p w14:paraId="5AE53D2A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（三）组织与权属管理</w:t>
      </w:r>
    </w:p>
    <w:p w14:paraId="629402EC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组织管理维护公司层级、合并关系、职级、人员名单与权属关系。成员单位可挂接到上级公司之下，形成集团、区域、公司三级树，审核权限与制度适用范围随组织树继承。</w:t>
      </w:r>
    </w:p>
    <w:p w14:paraId="647AF713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该结构决定一笔单据进入审核时需要同时装载三级制度。系统未采用命中即停止的短路策略，而是全量校验后汇总结论，组织层级越深，单笔计算量越大。这是规则压缩的主要动因。</w:t>
      </w:r>
    </w:p>
    <w:p w14:paraId="20D7C1CA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（四）审核中心</w:t>
      </w:r>
    </w:p>
    <w:p w14:paraId="20EC1AD4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审核中心提供单笔单据的全流程视图，包括原文件、单据下载、逐条审核过程与驳回原因。每条规则保留判定结果，可逐条回看；审核结论分为通过与驳回两类。</w:t>
      </w:r>
    </w:p>
    <w:p w14:paraId="3F447784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驳回原因可区分两类情形。</w:t>
      </w:r>
      <w:r>
        <w:rPr>
          <w:rFonts w:hint="eastAsia" w:ascii="Times New Roman" w:hAnsi="Times New Roman" w:eastAsia="宋体"/>
          <w:b/>
          <w:bCs/>
          <w:sz w:val="21"/>
        </w:rPr>
        <w:t>一是</w:t>
      </w:r>
      <w:r>
        <w:rPr>
          <w:rFonts w:hint="eastAsia" w:ascii="Times New Roman" w:hAnsi="Times New Roman" w:eastAsia="宋体"/>
          <w:sz w:val="21"/>
        </w:rPr>
        <w:t>识别错误，系统提取的关键字段与单据实际不一致，例如提取金额600元、单据金额2600元，此类单据可触发重新识别；</w:t>
      </w:r>
      <w:r>
        <w:rPr>
          <w:rFonts w:hint="eastAsia" w:ascii="Times New Roman" w:hAnsi="Times New Roman" w:eastAsia="宋体"/>
          <w:b/>
          <w:bCs/>
          <w:sz w:val="21"/>
        </w:rPr>
        <w:t>二是</w:t>
      </w:r>
      <w:r>
        <w:rPr>
          <w:rFonts w:hint="eastAsia" w:ascii="Times New Roman" w:hAnsi="Times New Roman" w:eastAsia="宋体"/>
          <w:sz w:val="21"/>
        </w:rPr>
        <w:t>判定错误，模型对规则理解偏差导致误驳。界面上两类情形均需人工确认，系统不自动区分，也不提供误判原因的自动归类。</w:t>
      </w:r>
    </w:p>
    <w:p w14:paraId="134BA14A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审核中心还体现模型的泛化判定能力。现场演示中，一笔单据仅配置“审核现金流量”五个字的要求，未提供具体规则，模型依据国家会计准则判定该单据现金流量列示错误。该单据所属单位为上市公司，按准则要求不得因准则变化调整现金流量列示，判定结果与实际情况一致。该案例说明模型具备超出规则文本的推理能力，同时说明审核边界由模型而非制度决定，可靠性难以事前约束。</w:t>
      </w:r>
    </w:p>
    <w:p w14:paraId="0DC6DC59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（五）人工修复与反馈助手</w:t>
      </w:r>
    </w:p>
    <w:p w14:paraId="4FFAC34E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反馈助手承接审核环节的误判记录。现场可见4月16日的误审单据，系统留存原单、判定结果与驳回理由。人工确认后进入修复流程，可选择重新识别，或补充规则并发布。</w:t>
      </w:r>
    </w:p>
    <w:p w14:paraId="61E8BA5A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规则发布支持两个层级。</w:t>
      </w:r>
      <w:r>
        <w:rPr>
          <w:rFonts w:hint="eastAsia" w:ascii="Times New Roman" w:hAnsi="Times New Roman" w:eastAsia="宋体"/>
          <w:b/>
          <w:sz w:val="21"/>
        </w:rPr>
        <w:t>一是</w:t>
      </w:r>
      <w:r>
        <w:rPr>
          <w:rFonts w:hint="eastAsia" w:ascii="Times New Roman" w:hAnsi="Times New Roman" w:eastAsia="宋体"/>
          <w:sz w:val="21"/>
        </w:rPr>
        <w:t>公司规则，仅对特定成员单位生效；</w:t>
      </w:r>
      <w:r>
        <w:rPr>
          <w:rFonts w:hint="eastAsia" w:ascii="Times New Roman" w:hAnsi="Times New Roman" w:eastAsia="宋体"/>
          <w:b/>
          <w:sz w:val="21"/>
        </w:rPr>
        <w:t>二是</w:t>
      </w:r>
      <w:r>
        <w:rPr>
          <w:rFonts w:hint="eastAsia" w:ascii="Times New Roman" w:hAnsi="Times New Roman" w:eastAsia="宋体"/>
          <w:sz w:val="21"/>
        </w:rPr>
        <w:t>通用规则，对全集团生效。修复完成后规则进入后续审核，形成发现、修复、发布、复用的闭环。现场观察，随着规则积累，误审数量呈下降趋势。</w:t>
      </w:r>
    </w:p>
    <w:p w14:paraId="3CB3F981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该闭环的局限在于归因依赖人工。系统能指出哪条规则驳回、哪张单据异常，但不能自动判断错误来自识别、规则还是模型理解，修复质量高度依赖运维人员经验。</w:t>
      </w:r>
    </w:p>
    <w:p w14:paraId="79B862B5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（六）测试与压测平台</w:t>
      </w:r>
    </w:p>
    <w:p w14:paraId="717E207D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系统设置测试平台与压测平台两套独立环境，数据与生产隔离。</w:t>
      </w:r>
    </w:p>
    <w:p w14:paraId="068351B0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测试平台支持按日期选取历史单据重跑，以人工标注结果为基准，统计通过率、准确率、错误率及趋势。该能力用于版本上线前的准确率回归，避免规则调整导致效果回退。现场演示中，测试结果按日展示，并与标注答案逐单比对。</w:t>
      </w:r>
    </w:p>
    <w:p w14:paraId="55369F67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压测平台面向吞吐验证，支持选择数据集、设定压缩时长后批量执行，输出单位时间处理量。10月17日的3845单即在该环境测得。</w:t>
      </w:r>
    </w:p>
    <w:p w14:paraId="0A412EF4">
      <w:pPr>
        <w:spacing w:before="240" w:after="120" w:line="312" w:lineRule="auto"/>
        <w:outlineLvl w:val="0"/>
      </w:pPr>
      <w:r>
        <w:rPr>
          <w:rFonts w:hint="eastAsia" w:ascii="Arial" w:hAnsi="Arial" w:eastAsia="黑体"/>
          <w:b/>
          <w:sz w:val="28"/>
        </w:rPr>
        <w:t>四、技术架构与模型应用</w:t>
      </w:r>
    </w:p>
    <w:p w14:paraId="530AA363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（一）部署形态与算力</w:t>
      </w:r>
    </w:p>
    <w:p w14:paraId="44753824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系统采用本地化部署，推理全部在本地完成，不依赖公有云。现场口述配置为两台服务器、单卡显存96GB、显存合计约400GB，其中包含国产整机。按单卡容量推算约为4卡规模，具体机型与卡数需以设备清单核实。</w:t>
      </w:r>
    </w:p>
    <w:p w14:paraId="0B149EAF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（二）三模型分工</w:t>
      </w:r>
    </w:p>
    <w:p w14:paraId="11254A1B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系统未采用单一模型处理全链路，而是按环节拆分三类模型。</w:t>
      </w:r>
      <w:r>
        <w:rPr>
          <w:rFonts w:hint="eastAsia" w:ascii="Times New Roman" w:hAnsi="Times New Roman" w:eastAsia="宋体"/>
          <w:b/>
          <w:sz w:val="21"/>
        </w:rPr>
        <w:t>一是</w:t>
      </w:r>
      <w:r>
        <w:rPr>
          <w:rFonts w:hint="eastAsia" w:ascii="Times New Roman" w:hAnsi="Times New Roman" w:eastAsia="宋体"/>
          <w:sz w:val="21"/>
        </w:rPr>
        <w:t>纯视觉OCR模型，负责模板要素抽取与票面识别；</w:t>
      </w:r>
      <w:r>
        <w:rPr>
          <w:rFonts w:hint="eastAsia" w:ascii="Times New Roman" w:hAnsi="Times New Roman" w:eastAsia="宋体"/>
          <w:b/>
          <w:sz w:val="21"/>
        </w:rPr>
        <w:t>二是</w:t>
      </w:r>
      <w:r>
        <w:rPr>
          <w:rFonts w:hint="eastAsia" w:ascii="Times New Roman" w:hAnsi="Times New Roman" w:eastAsia="宋体"/>
          <w:sz w:val="21"/>
        </w:rPr>
        <w:t>多模态模型，负责规则比对与图像类信息理解；</w:t>
      </w:r>
      <w:r>
        <w:rPr>
          <w:rFonts w:hint="eastAsia" w:ascii="Times New Roman" w:hAnsi="Times New Roman" w:eastAsia="宋体"/>
          <w:b/>
          <w:sz w:val="21"/>
        </w:rPr>
        <w:t>三是</w:t>
      </w:r>
      <w:r>
        <w:rPr>
          <w:rFonts w:hint="eastAsia" w:ascii="Times New Roman" w:hAnsi="Times New Roman" w:eastAsia="宋体"/>
          <w:sz w:val="21"/>
        </w:rPr>
        <w:t>大语言模型，负责制度文本解析与语义规则生成。三类模型各司其职，不互相替代。</w:t>
      </w:r>
    </w:p>
    <w:p w14:paraId="6526714E">
      <w:pPr>
        <w:keepNext/>
        <w:spacing w:before="160" w:after="60"/>
        <w:jc w:val="center"/>
      </w:pPr>
      <w:r>
        <w:rPr>
          <w:rFonts w:hint="eastAsia" w:ascii="Arial" w:hAnsi="Arial" w:eastAsia="黑体"/>
          <w:b/>
          <w:sz w:val="21"/>
        </w:rPr>
        <w:t>表2模型分工与部署资源</w:t>
      </w:r>
    </w:p>
    <w:tbl>
      <w:tblPr>
        <w:tblStyle w:val="33"/>
        <w:tblW w:w="82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332"/>
        <w:gridCol w:w="1599"/>
        <w:gridCol w:w="2217"/>
        <w:gridCol w:w="2478"/>
      </w:tblGrid>
      <w:tr w14:paraId="593F3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52" w:type="dxa"/>
            <w:shd w:val="clear" w:color="auto" w:fill="F0F0F0"/>
            <w:vAlign w:val="center"/>
          </w:tcPr>
          <w:p w14:paraId="51A87046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w="1332" w:type="dxa"/>
            <w:shd w:val="clear" w:color="auto" w:fill="F0F0F0"/>
            <w:vAlign w:val="center"/>
          </w:tcPr>
          <w:p w14:paraId="5D6F9AB2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环节</w:t>
            </w:r>
          </w:p>
        </w:tc>
        <w:tc>
          <w:tcPr>
            <w:tcW w:w="1599" w:type="dxa"/>
            <w:shd w:val="clear" w:color="auto" w:fill="F0F0F0"/>
            <w:vAlign w:val="center"/>
          </w:tcPr>
          <w:p w14:paraId="7BEA8C78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模型类型</w:t>
            </w:r>
          </w:p>
        </w:tc>
        <w:tc>
          <w:tcPr>
            <w:tcW w:w="2217" w:type="dxa"/>
            <w:shd w:val="clear" w:color="auto" w:fill="F0F0F0"/>
            <w:vAlign w:val="center"/>
          </w:tcPr>
          <w:p w14:paraId="6D557C1E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主要用途</w:t>
            </w:r>
          </w:p>
        </w:tc>
        <w:tc>
          <w:tcPr>
            <w:tcW w:w="2477" w:type="dxa"/>
            <w:shd w:val="clear" w:color="auto" w:fill="F0F0F0"/>
            <w:vAlign w:val="center"/>
          </w:tcPr>
          <w:p w14:paraId="606066F1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现场观察</w:t>
            </w:r>
          </w:p>
        </w:tc>
      </w:tr>
      <w:tr w14:paraId="6F0B4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52FFC15F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w="1332" w:type="dxa"/>
            <w:vAlign w:val="center"/>
          </w:tcPr>
          <w:p w14:paraId="40321AC7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模板抽取</w:t>
            </w:r>
          </w:p>
        </w:tc>
        <w:tc>
          <w:tcPr>
            <w:tcW w:w="1599" w:type="dxa"/>
            <w:vAlign w:val="center"/>
          </w:tcPr>
          <w:p w14:paraId="1285E9D2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纯视觉OCR</w:t>
            </w:r>
          </w:p>
        </w:tc>
        <w:tc>
          <w:tcPr>
            <w:tcW w:w="2217" w:type="dxa"/>
            <w:vAlign w:val="center"/>
          </w:tcPr>
          <w:p w14:paraId="4A57C7C8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票面要素识别与字段提取</w:t>
            </w:r>
          </w:p>
        </w:tc>
        <w:tc>
          <w:tcPr>
            <w:tcW w:w="2477" w:type="dxa"/>
            <w:vAlign w:val="center"/>
          </w:tcPr>
          <w:p w14:paraId="5E17C26C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对票面结构依赖较强，首次抽取稳定性不足</w:t>
            </w:r>
          </w:p>
        </w:tc>
      </w:tr>
      <w:tr w14:paraId="53622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20141443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w="1332" w:type="dxa"/>
            <w:vAlign w:val="center"/>
          </w:tcPr>
          <w:p w14:paraId="0D10C1B6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规则比对</w:t>
            </w:r>
          </w:p>
        </w:tc>
        <w:tc>
          <w:tcPr>
            <w:tcW w:w="1599" w:type="dxa"/>
            <w:vAlign w:val="center"/>
          </w:tcPr>
          <w:p w14:paraId="5C21FE9B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多模态</w:t>
            </w:r>
          </w:p>
        </w:tc>
        <w:tc>
          <w:tcPr>
            <w:tcW w:w="2217" w:type="dxa"/>
            <w:vAlign w:val="center"/>
          </w:tcPr>
          <w:p w14:paraId="3F890E1D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规则与单据信息比对、图像理解</w:t>
            </w:r>
          </w:p>
        </w:tc>
        <w:tc>
          <w:tcPr>
            <w:tcW w:w="2477" w:type="dxa"/>
            <w:vAlign w:val="center"/>
          </w:tcPr>
          <w:p w14:paraId="59315A5E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承担主要判定工作</w:t>
            </w:r>
          </w:p>
        </w:tc>
      </w:tr>
      <w:tr w14:paraId="306BF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536C1956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w="1332" w:type="dxa"/>
            <w:vAlign w:val="center"/>
          </w:tcPr>
          <w:p w14:paraId="37DDC2F3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制度解析</w:t>
            </w:r>
          </w:p>
        </w:tc>
        <w:tc>
          <w:tcPr>
            <w:tcW w:w="1599" w:type="dxa"/>
            <w:vAlign w:val="center"/>
          </w:tcPr>
          <w:p w14:paraId="0CC7924B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大语言模型</w:t>
            </w:r>
          </w:p>
        </w:tc>
        <w:tc>
          <w:tcPr>
            <w:tcW w:w="2217" w:type="dxa"/>
            <w:vAlign w:val="center"/>
          </w:tcPr>
          <w:p w14:paraId="5D8121F2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制度文本解析、语义规则生成</w:t>
            </w:r>
          </w:p>
        </w:tc>
        <w:tc>
          <w:tcPr>
            <w:tcW w:w="2477" w:type="dxa"/>
            <w:vAlign w:val="center"/>
          </w:tcPr>
          <w:p w14:paraId="60F65D6A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将制度条款转为可执行语义规则</w:t>
            </w:r>
          </w:p>
        </w:tc>
      </w:tr>
      <w:tr w14:paraId="6C116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056BF63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w="1332" w:type="dxa"/>
            <w:vAlign w:val="center"/>
          </w:tcPr>
          <w:p w14:paraId="0DB109A9">
            <w:pPr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推理部署</w:t>
            </w:r>
          </w:p>
        </w:tc>
        <w:tc>
          <w:tcPr>
            <w:tcW w:w="1599" w:type="dxa"/>
            <w:vAlign w:val="center"/>
          </w:tcPr>
          <w:p w14:paraId="46C217EF">
            <w:pPr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本地GPU集群</w:t>
            </w:r>
          </w:p>
        </w:tc>
        <w:tc>
          <w:tcPr>
            <w:tcW w:w="2217" w:type="dxa"/>
            <w:vAlign w:val="center"/>
          </w:tcPr>
          <w:p w14:paraId="7FA2C476">
            <w:pPr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三类模型本地推理</w:t>
            </w:r>
          </w:p>
        </w:tc>
        <w:tc>
          <w:tcPr>
            <w:tcW w:w="2477" w:type="dxa"/>
            <w:vAlign w:val="center"/>
          </w:tcPr>
          <w:p w14:paraId="4FDF3F4A">
            <w:pPr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单卡96GB，合计约400GB显存</w:t>
            </w:r>
          </w:p>
        </w:tc>
      </w:tr>
    </w:tbl>
    <w:p w14:paraId="74F125D1">
      <w:pPr>
        <w:spacing w:after="0" w:line="240" w:lineRule="auto"/>
      </w:pPr>
    </w:p>
    <w:p w14:paraId="297CA14F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（三）全大模型处理链路</w:t>
      </w:r>
    </w:p>
    <w:p w14:paraId="1D703E08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系统未引入本体论或知识图谱，审核不依赖结构化关系网络。每笔单据处理时，系统将单据数据、抽取结果与适用规则组装为一个完整提示词，交由大模型一次性推理，直接输出通过或驳回结论。</w:t>
      </w:r>
    </w:p>
    <w:p w14:paraId="0D996036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该链路的优点是实现简单，规则调整无需重构模型；缺点是推理成本高、结论不可拆解。模型能够说明结论来自哪份文档，无法说明由哪几项数据计算得出，统计层难以复核。</w:t>
      </w:r>
    </w:p>
    <w:p w14:paraId="26C77DE1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单笔单据从发票识别到规则处理完成，端到端耗时约4分钟。该数值为现场口述的串行观测值，与压测吞吐量按并发数推算的结果存在差异，具体口径待压测明细复核。</w:t>
      </w:r>
    </w:p>
    <w:p w14:paraId="1E8DD81A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（四）并发策略</w:t>
      </w:r>
    </w:p>
    <w:p w14:paraId="4251DEDC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系统对单模型并发实施上限控制。测试阶段认定并发6个为稳定值，超过后错误率上升；当前生产环境已提升至10个并发运行。并发与准确率之间存在明显权衡，吞吐提升以牺牲稳定性为代价。</w:t>
      </w:r>
    </w:p>
    <w:p w14:paraId="627B27B1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在算力固定的前提下，提升吞吐只能依靠减少单笔计算量。这解释了规则压缩为何成为主要优化方向，也说明该产品的效率提升已接近现有技术路径的上限。</w:t>
      </w:r>
    </w:p>
    <w:p w14:paraId="706449FC">
      <w:pPr>
        <w:spacing w:before="240" w:after="120" w:line="312" w:lineRule="auto"/>
        <w:outlineLvl w:val="0"/>
      </w:pPr>
      <w:r>
        <w:rPr>
          <w:rFonts w:hint="eastAsia" w:ascii="Arial" w:hAnsi="Arial" w:eastAsia="黑体"/>
          <w:b/>
          <w:sz w:val="28"/>
        </w:rPr>
        <w:t>五、性能与效果实测</w:t>
      </w:r>
    </w:p>
    <w:p w14:paraId="60D571C5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（一）吞吐能力</w:t>
      </w:r>
    </w:p>
    <w:p w14:paraId="2EFDF44A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系统吞吐经历了四个阶段的跃升。初期日处理能力为600至700单；经规则治理后提升至3000单量级，但完成3000单仍需5至6天；9月12日实现单日审完3000单，12小时压测3500单；10月17日压测达到12小时3845单，为现场可见最高值，现场亦表述为3700余单。</w:t>
      </w:r>
    </w:p>
    <w:p w14:paraId="0FAF3221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常规运行状态下，处理速度约为每分钟5单、每小时200单，12小时约2000余单。压测峰值约合每小时320单，为常规水平的1.6倍，差异来自任务密度与并发配置。</w:t>
      </w:r>
    </w:p>
    <w:p w14:paraId="3BDF5FC1">
      <w:pPr>
        <w:keepNext/>
        <w:spacing w:before="160" w:after="60"/>
        <w:jc w:val="center"/>
      </w:pPr>
      <w:r>
        <w:rPr>
          <w:rFonts w:hint="eastAsia" w:ascii="Arial" w:hAnsi="Arial" w:eastAsia="黑体"/>
          <w:b/>
          <w:sz w:val="21"/>
        </w:rPr>
        <w:t>表3关键运行指标实测</w:t>
      </w:r>
    </w:p>
    <w:tbl>
      <w:tblPr>
        <w:tblStyle w:val="33"/>
        <w:tblW w:w="82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769"/>
        <w:gridCol w:w="1763"/>
        <w:gridCol w:w="1667"/>
        <w:gridCol w:w="2421"/>
      </w:tblGrid>
      <w:tr w14:paraId="7B212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52" w:type="dxa"/>
            <w:shd w:val="clear" w:color="auto" w:fill="F0F0F0"/>
            <w:vAlign w:val="center"/>
          </w:tcPr>
          <w:p w14:paraId="126582AC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w="1769" w:type="dxa"/>
            <w:shd w:val="clear" w:color="auto" w:fill="F0F0F0"/>
            <w:vAlign w:val="center"/>
          </w:tcPr>
          <w:p w14:paraId="1DDD3538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w="1763" w:type="dxa"/>
            <w:shd w:val="clear" w:color="auto" w:fill="F0F0F0"/>
            <w:vAlign w:val="center"/>
          </w:tcPr>
          <w:p w14:paraId="58399F9C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实测值</w:t>
            </w:r>
          </w:p>
        </w:tc>
        <w:tc>
          <w:tcPr>
            <w:tcW w:w="1667" w:type="dxa"/>
            <w:shd w:val="clear" w:color="auto" w:fill="F0F0F0"/>
            <w:vAlign w:val="center"/>
          </w:tcPr>
          <w:p w14:paraId="15448804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时点</w:t>
            </w:r>
          </w:p>
        </w:tc>
        <w:tc>
          <w:tcPr>
            <w:tcW w:w="2421" w:type="dxa"/>
            <w:shd w:val="clear" w:color="auto" w:fill="F0F0F0"/>
            <w:vAlign w:val="center"/>
          </w:tcPr>
          <w:p w14:paraId="700E6228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口径说明</w:t>
            </w:r>
          </w:p>
        </w:tc>
      </w:tr>
      <w:tr w14:paraId="5C4B3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6A0BC96C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w="1769" w:type="dxa"/>
            <w:vAlign w:val="center"/>
          </w:tcPr>
          <w:p w14:paraId="3B595159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压测峰值吞吐</w:t>
            </w:r>
          </w:p>
        </w:tc>
        <w:tc>
          <w:tcPr>
            <w:tcW w:w="1763" w:type="dxa"/>
            <w:vAlign w:val="center"/>
          </w:tcPr>
          <w:p w14:paraId="3F646A06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3845单/12小时</w:t>
            </w:r>
          </w:p>
        </w:tc>
        <w:tc>
          <w:tcPr>
            <w:tcW w:w="1667" w:type="dxa"/>
            <w:vAlign w:val="center"/>
          </w:tcPr>
          <w:p w14:paraId="3E79D6A5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2026年10月17日</w:t>
            </w:r>
          </w:p>
        </w:tc>
        <w:tc>
          <w:tcPr>
            <w:tcW w:w="2421" w:type="dxa"/>
            <w:vAlign w:val="center"/>
          </w:tcPr>
          <w:p w14:paraId="3167E2D7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历史最高值，10并发运行</w:t>
            </w:r>
          </w:p>
        </w:tc>
      </w:tr>
      <w:tr w14:paraId="73A33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2B884119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w="1769" w:type="dxa"/>
            <w:vAlign w:val="center"/>
          </w:tcPr>
          <w:p w14:paraId="35ADC86D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前期压测吞吐</w:t>
            </w:r>
          </w:p>
        </w:tc>
        <w:tc>
          <w:tcPr>
            <w:tcW w:w="1763" w:type="dxa"/>
            <w:vAlign w:val="center"/>
          </w:tcPr>
          <w:p w14:paraId="1AFE7FBD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3500单/12小时</w:t>
            </w:r>
          </w:p>
        </w:tc>
        <w:tc>
          <w:tcPr>
            <w:tcW w:w="1667" w:type="dxa"/>
            <w:vAlign w:val="center"/>
          </w:tcPr>
          <w:p w14:paraId="7449D490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2026年9月12日</w:t>
            </w:r>
          </w:p>
        </w:tc>
        <w:tc>
          <w:tcPr>
            <w:tcW w:w="2421" w:type="dxa"/>
            <w:vAlign w:val="center"/>
          </w:tcPr>
          <w:p w14:paraId="2FFEA152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前期优化版本</w:t>
            </w:r>
          </w:p>
        </w:tc>
      </w:tr>
      <w:tr w14:paraId="0AFDF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12287041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w="1769" w:type="dxa"/>
            <w:vAlign w:val="center"/>
          </w:tcPr>
          <w:p w14:paraId="6A7483EA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单笔端到端耗时</w:t>
            </w:r>
          </w:p>
        </w:tc>
        <w:tc>
          <w:tcPr>
            <w:tcW w:w="1763" w:type="dxa"/>
            <w:vAlign w:val="center"/>
          </w:tcPr>
          <w:p w14:paraId="6A76C6D4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约4分钟</w:t>
            </w:r>
          </w:p>
        </w:tc>
        <w:tc>
          <w:tcPr>
            <w:tcW w:w="1667" w:type="dxa"/>
            <w:vAlign w:val="center"/>
          </w:tcPr>
          <w:p w14:paraId="5686C00C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2026年10月</w:t>
            </w:r>
          </w:p>
        </w:tc>
        <w:tc>
          <w:tcPr>
            <w:tcW w:w="2421" w:type="dxa"/>
            <w:vAlign w:val="center"/>
          </w:tcPr>
          <w:p w14:paraId="52CF3262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发票识别至规则处理完成，串行观测</w:t>
            </w:r>
          </w:p>
        </w:tc>
      </w:tr>
      <w:tr w14:paraId="1B7CC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7ED1AE4A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w="1769" w:type="dxa"/>
            <w:vAlign w:val="center"/>
          </w:tcPr>
          <w:p w14:paraId="71D32A40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常规处理速率</w:t>
            </w:r>
          </w:p>
        </w:tc>
        <w:tc>
          <w:tcPr>
            <w:tcW w:w="1763" w:type="dxa"/>
            <w:vAlign w:val="center"/>
          </w:tcPr>
          <w:p w14:paraId="68AB7844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约5单/分钟、200单/小时</w:t>
            </w:r>
          </w:p>
        </w:tc>
        <w:tc>
          <w:tcPr>
            <w:tcW w:w="1667" w:type="dxa"/>
            <w:vAlign w:val="center"/>
          </w:tcPr>
          <w:p w14:paraId="518A3914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2026年10月</w:t>
            </w:r>
          </w:p>
        </w:tc>
        <w:tc>
          <w:tcPr>
            <w:tcW w:w="2421" w:type="dxa"/>
            <w:vAlign w:val="center"/>
          </w:tcPr>
          <w:p w14:paraId="7A85E06F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非压测状态</w:t>
            </w:r>
          </w:p>
        </w:tc>
      </w:tr>
      <w:tr w14:paraId="6E110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0680834E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w="1769" w:type="dxa"/>
            <w:vAlign w:val="center"/>
          </w:tcPr>
          <w:p w14:paraId="5340592C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稳定并发数</w:t>
            </w:r>
          </w:p>
        </w:tc>
        <w:tc>
          <w:tcPr>
            <w:tcW w:w="1763" w:type="dxa"/>
            <w:vAlign w:val="center"/>
          </w:tcPr>
          <w:p w14:paraId="2F615425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6个</w:t>
            </w:r>
          </w:p>
        </w:tc>
        <w:tc>
          <w:tcPr>
            <w:tcW w:w="1667" w:type="dxa"/>
            <w:vAlign w:val="center"/>
          </w:tcPr>
          <w:p w14:paraId="1E19B5F7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测试阶段</w:t>
            </w:r>
          </w:p>
        </w:tc>
        <w:tc>
          <w:tcPr>
            <w:tcW w:w="2421" w:type="dxa"/>
            <w:vAlign w:val="center"/>
          </w:tcPr>
          <w:p w14:paraId="2CD78043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超过后错误率上升</w:t>
            </w:r>
          </w:p>
        </w:tc>
      </w:tr>
      <w:tr w14:paraId="63901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4E56163D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w="1769" w:type="dxa"/>
            <w:vAlign w:val="center"/>
          </w:tcPr>
          <w:p w14:paraId="260782B1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当前并发数</w:t>
            </w:r>
          </w:p>
        </w:tc>
        <w:tc>
          <w:tcPr>
            <w:tcW w:w="1763" w:type="dxa"/>
            <w:vAlign w:val="center"/>
          </w:tcPr>
          <w:p w14:paraId="3ADC0940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10个</w:t>
            </w:r>
          </w:p>
        </w:tc>
        <w:tc>
          <w:tcPr>
            <w:tcW w:w="1667" w:type="dxa"/>
            <w:vAlign w:val="center"/>
          </w:tcPr>
          <w:p w14:paraId="4CF68688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2026年10月起</w:t>
            </w:r>
          </w:p>
        </w:tc>
        <w:tc>
          <w:tcPr>
            <w:tcW w:w="2421" w:type="dxa"/>
            <w:vAlign w:val="center"/>
          </w:tcPr>
          <w:p w14:paraId="3C8E2A19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错误率高于6并发</w:t>
            </w:r>
          </w:p>
        </w:tc>
      </w:tr>
      <w:tr w14:paraId="09F1E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63D3F011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w="1769" w:type="dxa"/>
            <w:vAlign w:val="center"/>
          </w:tcPr>
          <w:p w14:paraId="2578A2E4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自动通过率</w:t>
            </w:r>
          </w:p>
        </w:tc>
        <w:tc>
          <w:tcPr>
            <w:tcW w:w="1763" w:type="dxa"/>
            <w:vAlign w:val="center"/>
          </w:tcPr>
          <w:p w14:paraId="0E5C0808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约85%</w:t>
            </w:r>
          </w:p>
        </w:tc>
        <w:tc>
          <w:tcPr>
            <w:tcW w:w="1667" w:type="dxa"/>
            <w:vAlign w:val="center"/>
          </w:tcPr>
          <w:p w14:paraId="170078CB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3000单规模</w:t>
            </w:r>
          </w:p>
        </w:tc>
        <w:tc>
          <w:tcPr>
            <w:tcW w:w="2421" w:type="dxa"/>
            <w:vAlign w:val="center"/>
          </w:tcPr>
          <w:p w14:paraId="4CCB8A60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通过样本正确率约99%</w:t>
            </w:r>
          </w:p>
        </w:tc>
      </w:tr>
      <w:tr w14:paraId="17C5A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7C520B65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w="1769" w:type="dxa"/>
            <w:vAlign w:val="center"/>
          </w:tcPr>
          <w:p w14:paraId="3702C921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转人工比例</w:t>
            </w:r>
          </w:p>
        </w:tc>
        <w:tc>
          <w:tcPr>
            <w:tcW w:w="1763" w:type="dxa"/>
            <w:vAlign w:val="center"/>
          </w:tcPr>
          <w:p w14:paraId="221B2B5B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约15%</w:t>
            </w:r>
          </w:p>
        </w:tc>
        <w:tc>
          <w:tcPr>
            <w:tcW w:w="1667" w:type="dxa"/>
            <w:vAlign w:val="center"/>
          </w:tcPr>
          <w:p w14:paraId="14186253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3000单规模</w:t>
            </w:r>
          </w:p>
        </w:tc>
        <w:tc>
          <w:tcPr>
            <w:tcW w:w="2421" w:type="dxa"/>
            <w:vAlign w:val="center"/>
          </w:tcPr>
          <w:p w14:paraId="105EA605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其中误驳约85%，真错约15%</w:t>
            </w:r>
          </w:p>
        </w:tc>
      </w:tr>
      <w:tr w14:paraId="067C5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1CDEA8DB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9</w:t>
            </w:r>
          </w:p>
        </w:tc>
        <w:tc>
          <w:tcPr>
            <w:tcW w:w="1769" w:type="dxa"/>
            <w:vAlign w:val="center"/>
          </w:tcPr>
          <w:p w14:paraId="0F5E8F89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另一口径通过率</w:t>
            </w:r>
          </w:p>
        </w:tc>
        <w:tc>
          <w:tcPr>
            <w:tcW w:w="1763" w:type="dxa"/>
            <w:vAlign w:val="center"/>
          </w:tcPr>
          <w:p w14:paraId="3395633F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约95%</w:t>
            </w:r>
          </w:p>
        </w:tc>
        <w:tc>
          <w:tcPr>
            <w:tcW w:w="1667" w:type="dxa"/>
            <w:vAlign w:val="center"/>
          </w:tcPr>
          <w:p w14:paraId="0610B145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2026年10月</w:t>
            </w:r>
          </w:p>
        </w:tc>
        <w:tc>
          <w:tcPr>
            <w:tcW w:w="2421" w:type="dxa"/>
            <w:vAlign w:val="center"/>
          </w:tcPr>
          <w:p w14:paraId="2523B104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拒单约5%，拒单中误判约85%，与第7项口径不一致</w:t>
            </w:r>
          </w:p>
        </w:tc>
      </w:tr>
      <w:tr w14:paraId="48788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0FF73FB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w="1769" w:type="dxa"/>
            <w:vAlign w:val="center"/>
          </w:tcPr>
          <w:p w14:paraId="32FFC5F6">
            <w:pPr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未优化部署日处理量</w:t>
            </w:r>
          </w:p>
        </w:tc>
        <w:tc>
          <w:tcPr>
            <w:tcW w:w="1763" w:type="dxa"/>
            <w:vAlign w:val="center"/>
          </w:tcPr>
          <w:p w14:paraId="45ECC7D2">
            <w:pPr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约200单/天</w:t>
            </w:r>
          </w:p>
        </w:tc>
        <w:tc>
          <w:tcPr>
            <w:tcW w:w="1667" w:type="dxa"/>
            <w:vAlign w:val="center"/>
          </w:tcPr>
          <w:p w14:paraId="2DB40900">
            <w:pPr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2026年10月</w:t>
            </w:r>
          </w:p>
        </w:tc>
        <w:tc>
          <w:tcPr>
            <w:tcW w:w="2421" w:type="dxa"/>
            <w:vAlign w:val="center"/>
          </w:tcPr>
          <w:p w14:paraId="287196A2">
            <w:pPr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同类系统未做算法优化</w:t>
            </w:r>
          </w:p>
        </w:tc>
      </w:tr>
    </w:tbl>
    <w:p w14:paraId="6AA8EC9F">
      <w:pPr>
        <w:spacing w:after="0" w:line="240" w:lineRule="auto"/>
      </w:pPr>
    </w:p>
    <w:p w14:paraId="3FACCF2D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（二）准确率结构</w:t>
      </w:r>
    </w:p>
    <w:p w14:paraId="5E1897CB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准确率需分两层看。第一层是自动通过样本的可靠性，约99%，即系统判定通过的单据基本无误，这部分可直接替代人工。第二层是转人工样本的准确性，约15%为真实问题，其余85%属于误驳，即系统把可以通过的单据退回人工。</w:t>
      </w:r>
    </w:p>
    <w:p w14:paraId="5CF093B0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两层数据指向同一结论：系统的自动通过判定可靠性较高，驳回判定准确性偏低。按3000单规模测算，约450单转人工，其中约380单属于无效转人工。人工复核的大部分工作量用于处理系统误判，自动化收益被显著抵销。</w:t>
      </w:r>
    </w:p>
    <w:p w14:paraId="5A1ABC5B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现场另有一组口径称模型判定通过率约95%、拒单约5%，拒单中约85%为误判。该口径与85%/15%的结构不一致，可能对应不同统计周期或不同分母，需以测试平台明细为准。对外表述应引用可复核口径，避免使用未经确认的数字。</w:t>
      </w:r>
    </w:p>
    <w:p w14:paraId="4EBD991B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（三）效率优化的四项措施</w:t>
      </w:r>
    </w:p>
    <w:p w14:paraId="5ACA8681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系统效率提升来自四项工程化改造，模型本身未发生代际变化。</w:t>
      </w:r>
    </w:p>
    <w:p w14:paraId="11554FFA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一是</w:t>
      </w:r>
      <w:r>
        <w:rPr>
          <w:rFonts w:hint="eastAsia" w:ascii="Times New Roman" w:hAnsi="Times New Roman" w:eastAsia="宋体"/>
          <w:b w:val="0"/>
          <w:sz w:val="21"/>
        </w:rPr>
        <w:t>特征模型分流。将具有特殊特征的单据单独取出，交由专用模型识别票面。现场判断该措施减少了主链路处理量，但未提升整体效率。</w:t>
      </w:r>
    </w:p>
    <w:p w14:paraId="158B0DE9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二是</w:t>
      </w:r>
      <w:r>
        <w:rPr>
          <w:rFonts w:hint="eastAsia" w:ascii="Times New Roman" w:hAnsi="Times New Roman" w:eastAsia="宋体"/>
          <w:b w:val="0"/>
          <w:sz w:val="21"/>
        </w:rPr>
        <w:t>语义精简。合并集团、区域、公司三级制度中的重复审核点，统一口径后只保留一条。该措施直接减少审核条数。</w:t>
      </w:r>
    </w:p>
    <w:p w14:paraId="64817B25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三是</w:t>
      </w:r>
      <w:r>
        <w:rPr>
          <w:rFonts w:hint="eastAsia" w:ascii="Times New Roman" w:hAnsi="Times New Roman" w:eastAsia="宋体"/>
          <w:b w:val="0"/>
          <w:sz w:val="21"/>
        </w:rPr>
        <w:t>三角矩阵消融。按现场表述，其作用是在规则维度上做精简，命中关键审核点后即时返回，减少无效比对。具体实现方式待确认。</w:t>
      </w:r>
    </w:p>
    <w:p w14:paraId="2AAF20A0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四是</w:t>
      </w:r>
      <w:r>
        <w:rPr>
          <w:rFonts w:hint="eastAsia" w:ascii="Times New Roman" w:hAnsi="Times New Roman" w:eastAsia="宋体"/>
          <w:b w:val="0"/>
          <w:sz w:val="21"/>
        </w:rPr>
        <w:t>规则压缩。将多条规则合并为一条，以逗号分隔后一次送入模型，把逐条审核变为整组审核。现场以10条压缩为1条为例，早期亦提出100条压缩为1条的方向。该措施是吞吐跃升的主要来源。</w:t>
      </w:r>
    </w:p>
    <w:p w14:paraId="37489DB1">
      <w:pPr>
        <w:keepNext/>
        <w:spacing w:before="160" w:after="60"/>
        <w:jc w:val="center"/>
      </w:pPr>
      <w:r>
        <w:rPr>
          <w:rFonts w:hint="eastAsia" w:ascii="Arial" w:hAnsi="Arial" w:eastAsia="黑体"/>
          <w:b/>
          <w:sz w:val="21"/>
        </w:rPr>
        <w:t>表4效率优化措施及效果</w:t>
      </w:r>
    </w:p>
    <w:tbl>
      <w:tblPr>
        <w:tblStyle w:val="33"/>
        <w:tblW w:w="82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616"/>
        <w:gridCol w:w="2444"/>
        <w:gridCol w:w="2177"/>
        <w:gridCol w:w="1395"/>
      </w:tblGrid>
      <w:tr w14:paraId="0D755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52" w:type="dxa"/>
            <w:shd w:val="clear" w:color="auto" w:fill="F0F0F0"/>
            <w:vAlign w:val="center"/>
          </w:tcPr>
          <w:p w14:paraId="73F80699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w="1616" w:type="dxa"/>
            <w:shd w:val="clear" w:color="auto" w:fill="F0F0F0"/>
            <w:vAlign w:val="center"/>
          </w:tcPr>
          <w:p w14:paraId="512FE7FD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措施</w:t>
            </w:r>
          </w:p>
        </w:tc>
        <w:tc>
          <w:tcPr>
            <w:tcW w:w="2443" w:type="dxa"/>
            <w:shd w:val="clear" w:color="auto" w:fill="F0F0F0"/>
            <w:vAlign w:val="center"/>
          </w:tcPr>
          <w:p w14:paraId="51D21175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具体做法</w:t>
            </w:r>
          </w:p>
        </w:tc>
        <w:tc>
          <w:tcPr>
            <w:tcW w:w="2177" w:type="dxa"/>
            <w:shd w:val="clear" w:color="auto" w:fill="F0F0F0"/>
            <w:vAlign w:val="center"/>
          </w:tcPr>
          <w:p w14:paraId="71AEAF76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现场判断</w:t>
            </w:r>
          </w:p>
        </w:tc>
        <w:tc>
          <w:tcPr>
            <w:tcW w:w="1395" w:type="dxa"/>
            <w:shd w:val="clear" w:color="auto" w:fill="F0F0F0"/>
            <w:vAlign w:val="center"/>
          </w:tcPr>
          <w:p w14:paraId="7CBBD0B3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作用判断</w:t>
            </w:r>
          </w:p>
        </w:tc>
      </w:tr>
      <w:tr w14:paraId="03D9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225499FB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w="1616" w:type="dxa"/>
            <w:vAlign w:val="center"/>
          </w:tcPr>
          <w:p w14:paraId="1ED646EE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特征模型分流</w:t>
            </w:r>
          </w:p>
        </w:tc>
        <w:tc>
          <w:tcPr>
            <w:tcW w:w="2443" w:type="dxa"/>
            <w:vAlign w:val="center"/>
          </w:tcPr>
          <w:p w14:paraId="42D7FF9E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特殊特征单据交由专用模型识别</w:t>
            </w:r>
          </w:p>
        </w:tc>
        <w:tc>
          <w:tcPr>
            <w:tcW w:w="2177" w:type="dxa"/>
            <w:vAlign w:val="center"/>
          </w:tcPr>
          <w:p w14:paraId="1BF393D0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减少主链路处理量，未提升整体效率</w:t>
            </w:r>
          </w:p>
        </w:tc>
        <w:tc>
          <w:tcPr>
            <w:tcW w:w="1395" w:type="dxa"/>
            <w:vAlign w:val="center"/>
          </w:tcPr>
          <w:p w14:paraId="713F6DCD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有限</w:t>
            </w:r>
          </w:p>
        </w:tc>
      </w:tr>
      <w:tr w14:paraId="003E3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69B8C2A7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w="1616" w:type="dxa"/>
            <w:vAlign w:val="center"/>
          </w:tcPr>
          <w:p w14:paraId="1E289399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语义精简</w:t>
            </w:r>
          </w:p>
        </w:tc>
        <w:tc>
          <w:tcPr>
            <w:tcW w:w="2443" w:type="dxa"/>
            <w:vAlign w:val="center"/>
          </w:tcPr>
          <w:p w14:paraId="43FA0A9B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合并三级制度重复审核点，统一口径</w:t>
            </w:r>
          </w:p>
        </w:tc>
        <w:tc>
          <w:tcPr>
            <w:tcW w:w="2177" w:type="dxa"/>
            <w:vAlign w:val="center"/>
          </w:tcPr>
          <w:p w14:paraId="0AC5516E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直接减少审核条数</w:t>
            </w:r>
          </w:p>
        </w:tc>
        <w:tc>
          <w:tcPr>
            <w:tcW w:w="1395" w:type="dxa"/>
            <w:vAlign w:val="center"/>
          </w:tcPr>
          <w:p w14:paraId="30D5EE71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辅助</w:t>
            </w:r>
          </w:p>
        </w:tc>
      </w:tr>
      <w:tr w14:paraId="5870B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06024D42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w="1616" w:type="dxa"/>
            <w:vAlign w:val="center"/>
          </w:tcPr>
          <w:p w14:paraId="3ADDAD2E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三角矩阵消融</w:t>
            </w:r>
          </w:p>
        </w:tc>
        <w:tc>
          <w:tcPr>
            <w:tcW w:w="2443" w:type="dxa"/>
            <w:vAlign w:val="center"/>
          </w:tcPr>
          <w:p w14:paraId="0068AADF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规则维度精简，命中关键点即返回</w:t>
            </w:r>
          </w:p>
        </w:tc>
        <w:tc>
          <w:tcPr>
            <w:tcW w:w="2177" w:type="dxa"/>
            <w:vAlign w:val="center"/>
          </w:tcPr>
          <w:p w14:paraId="7A6542F4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实现方式待确认</w:t>
            </w:r>
          </w:p>
        </w:tc>
        <w:tc>
          <w:tcPr>
            <w:tcW w:w="1395" w:type="dxa"/>
            <w:vAlign w:val="center"/>
          </w:tcPr>
          <w:p w14:paraId="4FDF3F01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待核实</w:t>
            </w:r>
          </w:p>
        </w:tc>
      </w:tr>
      <w:tr w14:paraId="0AF51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4913226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w="1616" w:type="dxa"/>
            <w:vAlign w:val="center"/>
          </w:tcPr>
          <w:p w14:paraId="7FF60C63">
            <w:pPr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规则压缩</w:t>
            </w:r>
          </w:p>
        </w:tc>
        <w:tc>
          <w:tcPr>
            <w:tcW w:w="2443" w:type="dxa"/>
            <w:vAlign w:val="center"/>
          </w:tcPr>
          <w:p w14:paraId="0FA7FE03">
            <w:pPr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多条规则合并为一条，一次送模型判定</w:t>
            </w:r>
          </w:p>
        </w:tc>
        <w:tc>
          <w:tcPr>
            <w:tcW w:w="2177" w:type="dxa"/>
            <w:vAlign w:val="center"/>
          </w:tcPr>
          <w:p w14:paraId="3A98D786">
            <w:pPr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吞吐跃升的主要来源</w:t>
            </w:r>
          </w:p>
        </w:tc>
        <w:tc>
          <w:tcPr>
            <w:tcW w:w="1395" w:type="dxa"/>
            <w:vAlign w:val="center"/>
          </w:tcPr>
          <w:p w14:paraId="5EB7133A">
            <w:pPr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主要</w:t>
            </w:r>
          </w:p>
        </w:tc>
      </w:tr>
    </w:tbl>
    <w:p w14:paraId="44DA7166">
      <w:pPr>
        <w:spacing w:after="0" w:line="240" w:lineRule="auto"/>
      </w:pPr>
    </w:p>
    <w:p w14:paraId="677E1A02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（四）效率与成本的约束关系</w:t>
      </w:r>
    </w:p>
    <w:p w14:paraId="064DA195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三项约束互相牵制。</w:t>
      </w:r>
      <w:r>
        <w:rPr>
          <w:rFonts w:hint="eastAsia" w:ascii="Times New Roman" w:hAnsi="Times New Roman" w:eastAsia="宋体"/>
          <w:b/>
          <w:sz w:val="21"/>
        </w:rPr>
        <w:t>一是</w:t>
      </w:r>
      <w:r>
        <w:rPr>
          <w:rFonts w:hint="eastAsia" w:ascii="Times New Roman" w:hAnsi="Times New Roman" w:eastAsia="宋体"/>
          <w:sz w:val="21"/>
        </w:rPr>
        <w:t>并发上限，超过10个并发错误率上升；</w:t>
      </w:r>
      <w:r>
        <w:rPr>
          <w:rFonts w:hint="eastAsia" w:ascii="Times New Roman" w:hAnsi="Times New Roman" w:eastAsia="宋体"/>
          <w:b/>
          <w:sz w:val="21"/>
        </w:rPr>
        <w:t>二是</w:t>
      </w:r>
      <w:r>
        <w:rPr>
          <w:rFonts w:hint="eastAsia" w:ascii="Times New Roman" w:hAnsi="Times New Roman" w:eastAsia="宋体"/>
          <w:sz w:val="21"/>
        </w:rPr>
        <w:t>单笔耗时，端到端约4分钟；</w:t>
      </w:r>
      <w:r>
        <w:rPr>
          <w:rFonts w:hint="eastAsia" w:ascii="Times New Roman" w:hAnsi="Times New Roman" w:eastAsia="宋体"/>
          <w:b/>
          <w:sz w:val="21"/>
        </w:rPr>
        <w:t>三是</w:t>
      </w:r>
      <w:r>
        <w:rPr>
          <w:rFonts w:hint="eastAsia" w:ascii="Times New Roman" w:hAnsi="Times New Roman" w:eastAsia="宋体"/>
          <w:sz w:val="21"/>
        </w:rPr>
        <w:t>算力固定，本地部署约400GB显存。三者共同决定单位时间产出上限。</w:t>
      </w:r>
    </w:p>
    <w:p w14:paraId="2CF3833D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按10并发与单笔4分钟推算，理论吞吐约为每小时150单，低于实测的每小时320单。这说明4分钟并非压测链路的平均单笔时延，或实际并发高于10，需以平台明细复核。</w:t>
      </w:r>
    </w:p>
    <w:p w14:paraId="5875679F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要突破现有吞吐，主要有两条路径。</w:t>
      </w:r>
      <w:r>
        <w:rPr>
          <w:rFonts w:hint="eastAsia" w:ascii="Times New Roman" w:hAnsi="Times New Roman" w:eastAsia="宋体"/>
          <w:b/>
          <w:sz w:val="21"/>
        </w:rPr>
        <w:t>一是</w:t>
      </w:r>
      <w:r>
        <w:rPr>
          <w:rFonts w:hint="eastAsia" w:ascii="Times New Roman" w:hAnsi="Times New Roman" w:eastAsia="宋体"/>
          <w:sz w:val="21"/>
        </w:rPr>
        <w:t>继续压缩单笔计算量，例如规则合并、字段精简、模型分流；</w:t>
      </w:r>
      <w:r>
        <w:rPr>
          <w:rFonts w:hint="eastAsia" w:ascii="Times New Roman" w:hAnsi="Times New Roman" w:eastAsia="宋体"/>
          <w:b/>
          <w:sz w:val="21"/>
        </w:rPr>
        <w:t>二是</w:t>
      </w:r>
      <w:r>
        <w:rPr>
          <w:rFonts w:hint="eastAsia" w:ascii="Times New Roman" w:hAnsi="Times New Roman" w:eastAsia="宋体"/>
          <w:sz w:val="21"/>
        </w:rPr>
        <w:t>更换推理范式，用不做推理链的判定模型替代生成式大模型。现有路径的优化空间已接近上限，后者是下一步的主要方向。</w:t>
      </w:r>
    </w:p>
    <w:p w14:paraId="36612DBB">
      <w:pPr>
        <w:spacing w:before="240" w:after="120" w:line="312" w:lineRule="auto"/>
        <w:outlineLvl w:val="0"/>
      </w:pPr>
      <w:r>
        <w:rPr>
          <w:rFonts w:hint="eastAsia" w:ascii="Arial" w:hAnsi="Arial" w:eastAsia="黑体"/>
          <w:b/>
          <w:sz w:val="28"/>
        </w:rPr>
        <w:t>六、产品优势与可借鉴设计</w:t>
      </w:r>
    </w:p>
    <w:p w14:paraId="2B57F4F5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一是</w:t>
      </w:r>
      <w:r>
        <w:rPr>
          <w:rFonts w:hint="eastAsia" w:ascii="Times New Roman" w:hAnsi="Times New Roman" w:eastAsia="宋体"/>
          <w:b w:val="0"/>
          <w:sz w:val="21"/>
        </w:rPr>
        <w:t>规则压缩平台化。压缩能力已产品化为后台可执行功能，不再依赖一次性规则整理。用户可选择数据集、设定压缩时长，系统批量执行并输出结果。由此，规则治理从人工梳理转为可重复的运营动作。</w:t>
      </w:r>
    </w:p>
    <w:p w14:paraId="0F99E7E7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二是</w:t>
      </w:r>
      <w:r>
        <w:rPr>
          <w:rFonts w:hint="eastAsia" w:ascii="Times New Roman" w:hAnsi="Times New Roman" w:eastAsia="宋体"/>
          <w:b w:val="0"/>
          <w:sz w:val="21"/>
        </w:rPr>
        <w:t>全链路耗时度量。系统对工单获取、附件识别、规则执行分环节统计耗时，并按5秒、10秒、15秒分档统计完成率，形成可视化分析。该能力可定位瓶颈环节，为优化提供依据，工程价值高于单纯的审核功能。</w:t>
      </w:r>
    </w:p>
    <w:p w14:paraId="743487A8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三是</w:t>
      </w:r>
      <w:r>
        <w:rPr>
          <w:rFonts w:hint="eastAsia" w:ascii="Times New Roman" w:hAnsi="Times New Roman" w:eastAsia="宋体"/>
          <w:b w:val="0"/>
          <w:sz w:val="21"/>
        </w:rPr>
        <w:t>审核过程全留痕。每条规则的判定结果、驳回理由、原始单据均可回看，人工复核不需重新取证。该设计降低复核门槛，也为规则优化提供样本。</w:t>
      </w:r>
    </w:p>
    <w:p w14:paraId="66F35151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四是</w:t>
      </w:r>
      <w:r>
        <w:rPr>
          <w:rFonts w:hint="eastAsia" w:ascii="Times New Roman" w:hAnsi="Times New Roman" w:eastAsia="宋体"/>
          <w:b w:val="0"/>
          <w:sz w:val="21"/>
        </w:rPr>
        <w:t>制度层级与组织权属绑定。规则适用范围由组织树决定，新增单位只需挂接，不必重配流程。该设计适配集团型企业多级管控，具备复制价值。</w:t>
      </w:r>
    </w:p>
    <w:p w14:paraId="184C43A2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五是</w:t>
      </w:r>
      <w:r>
        <w:rPr>
          <w:rFonts w:hint="eastAsia" w:ascii="Times New Roman" w:hAnsi="Times New Roman" w:eastAsia="宋体"/>
          <w:b w:val="0"/>
          <w:sz w:val="21"/>
        </w:rPr>
        <w:t>反馈闭环产品化。人工修复的结论可直接沉淀为规则并发布，公司级与集团级两个发布层级清晰。相比仅提供问题清单的产品，该闭环更接近可用状态。</w:t>
      </w:r>
    </w:p>
    <w:p w14:paraId="32D99340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六是</w:t>
      </w:r>
      <w:r>
        <w:rPr>
          <w:rFonts w:hint="eastAsia" w:ascii="Times New Roman" w:hAnsi="Times New Roman" w:eastAsia="宋体"/>
          <w:b w:val="0"/>
          <w:sz w:val="21"/>
        </w:rPr>
        <w:t>测试与压测双环境。生产与测试数据隔离，支持历史单据重跑与准确率回归，版本上线前可量化评估影响。该能力是规则频繁迭代场景下的必要基础设施。</w:t>
      </w:r>
    </w:p>
    <w:p w14:paraId="720B905A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七是</w:t>
      </w:r>
      <w:r>
        <w:rPr>
          <w:rFonts w:hint="eastAsia" w:ascii="Times New Roman" w:hAnsi="Times New Roman" w:eastAsia="宋体"/>
          <w:b w:val="0"/>
          <w:sz w:val="21"/>
        </w:rPr>
        <w:t>多账号并发操作。现场演示单机可打开10个窗口、并行操作10个账号，面向网银类场景设计。该能力属于RPA侧积累，与审核主链路相对独立。</w:t>
      </w:r>
    </w:p>
    <w:p w14:paraId="797DD902">
      <w:pPr>
        <w:spacing w:before="240" w:after="120" w:line="312" w:lineRule="auto"/>
        <w:outlineLvl w:val="0"/>
      </w:pPr>
      <w:r>
        <w:rPr>
          <w:rFonts w:hint="eastAsia" w:ascii="Arial" w:hAnsi="Arial" w:eastAsia="黑体"/>
          <w:b/>
          <w:sz w:val="28"/>
        </w:rPr>
        <w:t>七、现存问题与风险</w:t>
      </w:r>
    </w:p>
    <w:p w14:paraId="67450085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一是</w:t>
      </w:r>
      <w:r>
        <w:rPr>
          <w:rFonts w:hint="eastAsia" w:ascii="Times New Roman" w:hAnsi="Times New Roman" w:eastAsia="宋体"/>
          <w:b w:val="0"/>
          <w:sz w:val="21"/>
        </w:rPr>
        <w:t>识别结果不稳定。票面金额等关键字段首次抽取错误，重新识别即可恢复正确，说明抽取结果不具备可复现性。此类错误直接进入审核链路，是误驳的主要来源之一。</w:t>
      </w:r>
    </w:p>
    <w:p w14:paraId="2B5E1BBF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二是</w:t>
      </w:r>
      <w:r>
        <w:rPr>
          <w:rFonts w:hint="eastAsia" w:ascii="Times New Roman" w:hAnsi="Times New Roman" w:eastAsia="宋体"/>
          <w:b w:val="0"/>
          <w:sz w:val="21"/>
        </w:rPr>
        <w:t>识别环节缺少交叉验证。现场判断其识别仅采用单一模型的抽取结果，未做多模型交叉校验与置信度过滤。关键字段一旦抽错，后续规则再准确也无法纠正。该判断尚需技术侧确认。</w:t>
      </w:r>
    </w:p>
    <w:p w14:paraId="7F4E802F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三是</w:t>
      </w:r>
      <w:r>
        <w:rPr>
          <w:rFonts w:hint="eastAsia" w:ascii="Times New Roman" w:hAnsi="Times New Roman" w:eastAsia="宋体"/>
          <w:b w:val="0"/>
          <w:sz w:val="21"/>
        </w:rPr>
        <w:t>驳回误判率偏高。转人工单据中约85%为误驳，按3000单测算约380单属于无效转人工。人工复核的大部分工作量用于处理系统误判。</w:t>
      </w:r>
    </w:p>
    <w:p w14:paraId="3F226964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四是</w:t>
      </w:r>
      <w:r>
        <w:rPr>
          <w:rFonts w:hint="eastAsia" w:ascii="Times New Roman" w:hAnsi="Times New Roman" w:eastAsia="宋体"/>
          <w:b w:val="0"/>
          <w:sz w:val="21"/>
        </w:rPr>
        <w:t>全大模型推理成本高。单笔4分钟、显存约400GB，吞吐依赖规则压缩维持。并发提升即带来错误率上升，效率与准确性难以同时优化。</w:t>
      </w:r>
    </w:p>
    <w:p w14:paraId="127686A6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五是</w:t>
      </w:r>
      <w:r>
        <w:rPr>
          <w:rFonts w:hint="eastAsia" w:ascii="Times New Roman" w:hAnsi="Times New Roman" w:eastAsia="宋体"/>
          <w:b w:val="0"/>
          <w:sz w:val="21"/>
        </w:rPr>
        <w:t>审核结论不可溯源。模型可说明结论来自哪份文档，无法说明由哪几项数据计算得出。统计层无法验证数字构成，也无法支撑管理决策。</w:t>
      </w:r>
    </w:p>
    <w:p w14:paraId="34CDA273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六是</w:t>
      </w:r>
      <w:r>
        <w:rPr>
          <w:rFonts w:hint="eastAsia" w:ascii="Times New Roman" w:hAnsi="Times New Roman" w:eastAsia="宋体"/>
          <w:b w:val="0"/>
          <w:sz w:val="21"/>
        </w:rPr>
        <w:t>规则维护依赖人工经验。误审修复由人工判断并补充规则，缺少自动归因与规则推荐，规则质量高度依赖运维人员能力。</w:t>
      </w:r>
    </w:p>
    <w:p w14:paraId="47374FC8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七是</w:t>
      </w:r>
      <w:r>
        <w:rPr>
          <w:rFonts w:hint="eastAsia" w:ascii="Times New Roman" w:hAnsi="Times New Roman" w:eastAsia="宋体"/>
          <w:b w:val="0"/>
          <w:sz w:val="21"/>
        </w:rPr>
        <w:t>泛化判定边界不可控。模型可在仅给审核目标的情况下自行推理，判定结果可能超出制度文本。该能力在演示中是亮点，在审计场景中是风险。</w:t>
      </w:r>
    </w:p>
    <w:p w14:paraId="518C1ADF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八是</w:t>
      </w:r>
      <w:r>
        <w:rPr>
          <w:rFonts w:hint="eastAsia" w:ascii="Times New Roman" w:hAnsi="Times New Roman" w:eastAsia="宋体"/>
          <w:b w:val="0"/>
          <w:sz w:val="21"/>
        </w:rPr>
        <w:t>分析能力缺位。产品能力停留在单笔审核层面，未提供面向区域、单位、费用类型的趋势分析，无法支撑从点审核到面监督的升级。</w:t>
      </w:r>
    </w:p>
    <w:p w14:paraId="5F6EE405">
      <w:pPr>
        <w:spacing w:before="240" w:after="120" w:line="312" w:lineRule="auto"/>
        <w:outlineLvl w:val="0"/>
      </w:pPr>
      <w:r>
        <w:rPr>
          <w:rFonts w:hint="eastAsia" w:ascii="Arial" w:hAnsi="Arial" w:eastAsia="黑体"/>
          <w:b/>
          <w:sz w:val="28"/>
        </w:rPr>
        <w:t>八、对标结论与行动建议</w:t>
      </w:r>
    </w:p>
    <w:p w14:paraId="03990188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（一）对标结论</w:t>
      </w:r>
    </w:p>
    <w:p w14:paraId="106396F3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实在智能产品的竞争力集中在工程化能力，包括规则压缩、耗时度量、双环境回归与反馈闭环；模型能力并非主要壁垒。我方无需在模型参数上对标，重点应放在识别稳定性、审核准确率与数据溯源性三处。</w:t>
      </w:r>
    </w:p>
    <w:p w14:paraId="52BD8F2D">
      <w:pPr>
        <w:spacing w:before="0" w:after="60" w:line="360" w:lineRule="auto"/>
        <w:ind w:firstLine="420" w:firstLineChars="200"/>
        <w:jc w:val="both"/>
      </w:pPr>
      <w:r>
        <w:rPr>
          <w:rFonts w:hint="eastAsia" w:ascii="Times New Roman" w:hAnsi="Times New Roman" w:eastAsia="宋体"/>
          <w:sz w:val="21"/>
        </w:rPr>
        <w:t>三项硬指标可作为对标基准。</w:t>
      </w:r>
      <w:r>
        <w:rPr>
          <w:rFonts w:hint="eastAsia" w:ascii="Times New Roman" w:hAnsi="Times New Roman" w:eastAsia="宋体"/>
          <w:b/>
          <w:sz w:val="21"/>
        </w:rPr>
        <w:t>一是</w:t>
      </w:r>
      <w:r>
        <w:rPr>
          <w:rFonts w:hint="eastAsia" w:ascii="Times New Roman" w:hAnsi="Times New Roman" w:eastAsia="宋体"/>
          <w:sz w:val="21"/>
        </w:rPr>
        <w:t>字段级识别准确率，重点看金额、日期、税额等关键字段的首次抽取正确率；</w:t>
      </w:r>
      <w:r>
        <w:rPr>
          <w:rFonts w:hint="eastAsia" w:ascii="Times New Roman" w:hAnsi="Times New Roman" w:eastAsia="宋体"/>
          <w:b/>
          <w:sz w:val="21"/>
        </w:rPr>
        <w:t>二是</w:t>
      </w:r>
      <w:r>
        <w:rPr>
          <w:rFonts w:hint="eastAsia" w:ascii="Times New Roman" w:hAnsi="Times New Roman" w:eastAsia="宋体"/>
          <w:sz w:val="21"/>
        </w:rPr>
        <w:t>审核准确率，重点看转人工样本中的误驳率；</w:t>
      </w:r>
      <w:r>
        <w:rPr>
          <w:rFonts w:hint="eastAsia" w:ascii="Times New Roman" w:hAnsi="Times New Roman" w:eastAsia="宋体"/>
          <w:b/>
          <w:sz w:val="21"/>
        </w:rPr>
        <w:t>三是</w:t>
      </w:r>
      <w:r>
        <w:rPr>
          <w:rFonts w:hint="eastAsia" w:ascii="Times New Roman" w:hAnsi="Times New Roman" w:eastAsia="宋体"/>
          <w:sz w:val="21"/>
        </w:rPr>
        <w:t>单位算力吞吐，重点看同等算力下的日处理量。</w:t>
      </w:r>
    </w:p>
    <w:p w14:paraId="2131B4CF">
      <w:pPr>
        <w:spacing w:before="200" w:after="80" w:line="312" w:lineRule="auto"/>
        <w:outlineLvl w:val="1"/>
      </w:pPr>
      <w:r>
        <w:rPr>
          <w:rFonts w:hint="eastAsia" w:ascii="Arial" w:hAnsi="Arial" w:eastAsia="黑体"/>
          <w:b/>
          <w:sz w:val="24"/>
        </w:rPr>
        <w:t>（二）行动建议</w:t>
      </w:r>
    </w:p>
    <w:p w14:paraId="4366B881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一是</w:t>
      </w:r>
      <w:r>
        <w:rPr>
          <w:rFonts w:hint="eastAsia" w:ascii="Times New Roman" w:hAnsi="Times New Roman" w:eastAsia="宋体"/>
          <w:b w:val="0"/>
          <w:sz w:val="21"/>
        </w:rPr>
        <w:t>开展同数据集对比压测。使用同一批已标注单据、同一套规则，分别在我方系统与实在智能系统上运行，比较单笔耗时、通过率、误驳率与字段级准确率。压测结果形成书面报告，作为对外表述依据。</w:t>
      </w:r>
    </w:p>
    <w:p w14:paraId="7861EBC6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二是</w:t>
      </w:r>
      <w:r>
        <w:rPr>
          <w:rFonts w:hint="eastAsia" w:ascii="Times New Roman" w:hAnsi="Times New Roman" w:eastAsia="宋体"/>
          <w:b w:val="0"/>
          <w:sz w:val="21"/>
        </w:rPr>
        <w:t>识别层引入多模型交叉验证。对金额、日期、税额等关键字段，采用双模型抽取并比对，不一致时触发重新识别或转人工；设置置信度阈值，低置信字段不进入自动通过。</w:t>
      </w:r>
    </w:p>
    <w:p w14:paraId="45D1E35E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三是</w:t>
      </w:r>
      <w:r>
        <w:rPr>
          <w:rFonts w:hint="eastAsia" w:ascii="Times New Roman" w:hAnsi="Times New Roman" w:eastAsia="宋体"/>
          <w:b w:val="0"/>
          <w:sz w:val="21"/>
        </w:rPr>
        <w:t>验证判定型模型路线。针对规则判断场景，测试不做推理链、直接输出结论的模型，比较其推理开销、时延与准确率，评估替代生成式大模型的可行性。</w:t>
      </w:r>
    </w:p>
    <w:p w14:paraId="03370D3C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四是</w:t>
      </w:r>
      <w:r>
        <w:rPr>
          <w:rFonts w:hint="eastAsia" w:ascii="Times New Roman" w:hAnsi="Times New Roman" w:eastAsia="宋体"/>
          <w:b w:val="0"/>
          <w:sz w:val="21"/>
        </w:rPr>
        <w:t>推进本体架构。以单据、科目、报表、往来单位为节点建立关系，使统计数字可逐层拆解至原始凭证，解决审核结论不可溯源的问题。该方向作为中期技术路线，先在小范围验证。</w:t>
      </w:r>
    </w:p>
    <w:p w14:paraId="496E42F3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五是</w:t>
      </w:r>
      <w:r>
        <w:rPr>
          <w:rFonts w:hint="eastAsia" w:ascii="Times New Roman" w:hAnsi="Times New Roman" w:eastAsia="宋体"/>
          <w:b w:val="0"/>
          <w:sz w:val="21"/>
        </w:rPr>
        <w:t>补齐分析层能力。在单笔审核之上增加区域、单位、费用类型的趋势分析与异常聚集识别，把产品从审核工具升级为监督工具。</w:t>
      </w:r>
    </w:p>
    <w:p w14:paraId="390F07BE">
      <w:pPr>
        <w:spacing w:before="0" w:after="60" w:line="360" w:lineRule="auto"/>
        <w:ind w:firstLine="422" w:firstLineChars="200"/>
        <w:jc w:val="both"/>
      </w:pPr>
      <w:r>
        <w:rPr>
          <w:rFonts w:hint="eastAsia" w:ascii="Times New Roman" w:hAnsi="Times New Roman" w:eastAsia="宋体"/>
          <w:b/>
          <w:sz w:val="21"/>
        </w:rPr>
        <w:t>六是</w:t>
      </w:r>
      <w:r>
        <w:rPr>
          <w:rFonts w:hint="eastAsia" w:ascii="Times New Roman" w:hAnsi="Times New Roman" w:eastAsia="宋体"/>
          <w:b w:val="0"/>
          <w:sz w:val="21"/>
        </w:rPr>
        <w:t>对齐基础设施能力。规则压缩平台、全链路耗时分析、测试与压测双环境纳入产品版本规划，属于可复制的工程能力，不宜逐项目定制。</w:t>
      </w:r>
    </w:p>
    <w:p w14:paraId="0A2159B9">
      <w:pPr>
        <w:keepNext/>
        <w:spacing w:before="160" w:after="60"/>
        <w:jc w:val="center"/>
      </w:pPr>
      <w:r>
        <w:rPr>
          <w:rFonts w:hint="eastAsia" w:ascii="Arial" w:hAnsi="Arial" w:eastAsia="黑体"/>
          <w:b/>
          <w:sz w:val="21"/>
        </w:rPr>
        <w:t>表5对标差距与行动项</w:t>
      </w:r>
    </w:p>
    <w:tbl>
      <w:tblPr>
        <w:tblStyle w:val="33"/>
        <w:tblW w:w="82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690"/>
        <w:gridCol w:w="2347"/>
        <w:gridCol w:w="2461"/>
        <w:gridCol w:w="1128"/>
      </w:tblGrid>
      <w:tr w14:paraId="0D61E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52" w:type="dxa"/>
            <w:shd w:val="clear" w:color="auto" w:fill="F0F0F0"/>
            <w:vAlign w:val="center"/>
          </w:tcPr>
          <w:p w14:paraId="61D49B07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w="1689" w:type="dxa"/>
            <w:shd w:val="clear" w:color="auto" w:fill="F0F0F0"/>
            <w:vAlign w:val="center"/>
          </w:tcPr>
          <w:p w14:paraId="4CFE131A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能力项</w:t>
            </w:r>
          </w:p>
        </w:tc>
        <w:tc>
          <w:tcPr>
            <w:tcW w:w="2347" w:type="dxa"/>
            <w:shd w:val="clear" w:color="auto" w:fill="F0F0F0"/>
            <w:vAlign w:val="center"/>
          </w:tcPr>
          <w:p w14:paraId="11D022AD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实在智能现状</w:t>
            </w:r>
          </w:p>
        </w:tc>
        <w:tc>
          <w:tcPr>
            <w:tcW w:w="2460" w:type="dxa"/>
            <w:shd w:val="clear" w:color="auto" w:fill="F0F0F0"/>
            <w:vAlign w:val="center"/>
          </w:tcPr>
          <w:p w14:paraId="54E046AC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对标目标</w:t>
            </w:r>
          </w:p>
        </w:tc>
        <w:tc>
          <w:tcPr>
            <w:tcW w:w="1128" w:type="dxa"/>
            <w:shd w:val="clear" w:color="auto" w:fill="F0F0F0"/>
            <w:vAlign w:val="center"/>
          </w:tcPr>
          <w:p w14:paraId="5C5CC663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b/>
                <w:sz w:val="18"/>
              </w:rPr>
              <w:t>优先级</w:t>
            </w:r>
          </w:p>
        </w:tc>
      </w:tr>
      <w:tr w14:paraId="1C59F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50F8F3CA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w="1689" w:type="dxa"/>
            <w:vAlign w:val="center"/>
          </w:tcPr>
          <w:p w14:paraId="275CB838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字段识别准确率</w:t>
            </w:r>
          </w:p>
        </w:tc>
        <w:tc>
          <w:tcPr>
            <w:tcW w:w="2347" w:type="dxa"/>
            <w:vAlign w:val="center"/>
          </w:tcPr>
          <w:p w14:paraId="3687DE2A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首次抽取不稳定，重识别可恢复</w:t>
            </w:r>
          </w:p>
        </w:tc>
        <w:tc>
          <w:tcPr>
            <w:tcW w:w="2460" w:type="dxa"/>
            <w:vAlign w:val="center"/>
          </w:tcPr>
          <w:p w14:paraId="17956537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关键字段双模型交叉验证，首次准确率可量化</w:t>
            </w:r>
          </w:p>
        </w:tc>
        <w:tc>
          <w:tcPr>
            <w:tcW w:w="1128" w:type="dxa"/>
            <w:vAlign w:val="center"/>
          </w:tcPr>
          <w:p w14:paraId="012DC7D1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高</w:t>
            </w:r>
          </w:p>
        </w:tc>
      </w:tr>
      <w:tr w14:paraId="28AFD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3D23AD60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w="1689" w:type="dxa"/>
            <w:vAlign w:val="center"/>
          </w:tcPr>
          <w:p w14:paraId="66C026C3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审核准确率</w:t>
            </w:r>
          </w:p>
        </w:tc>
        <w:tc>
          <w:tcPr>
            <w:tcW w:w="2347" w:type="dxa"/>
            <w:vAlign w:val="center"/>
          </w:tcPr>
          <w:p w14:paraId="20A54ED9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转人工样本误驳约85%</w:t>
            </w:r>
          </w:p>
        </w:tc>
        <w:tc>
          <w:tcPr>
            <w:tcW w:w="2460" w:type="dxa"/>
            <w:vAlign w:val="center"/>
          </w:tcPr>
          <w:p w14:paraId="6E03FE9C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以对标值为基线设定改进目标</w:t>
            </w:r>
          </w:p>
        </w:tc>
        <w:tc>
          <w:tcPr>
            <w:tcW w:w="1128" w:type="dxa"/>
            <w:vAlign w:val="center"/>
          </w:tcPr>
          <w:p w14:paraId="62A0969F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高</w:t>
            </w:r>
          </w:p>
        </w:tc>
      </w:tr>
      <w:tr w14:paraId="350E5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4421FCB7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w="1689" w:type="dxa"/>
            <w:vAlign w:val="center"/>
          </w:tcPr>
          <w:p w14:paraId="5204A4E3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单位算力吞吐</w:t>
            </w:r>
          </w:p>
        </w:tc>
        <w:tc>
          <w:tcPr>
            <w:tcW w:w="2347" w:type="dxa"/>
            <w:vAlign w:val="center"/>
          </w:tcPr>
          <w:p w14:paraId="421F118F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3845单/12小时，约400GB显存</w:t>
            </w:r>
          </w:p>
        </w:tc>
        <w:tc>
          <w:tcPr>
            <w:tcW w:w="2460" w:type="dxa"/>
            <w:vAlign w:val="center"/>
          </w:tcPr>
          <w:p w14:paraId="60C85FB4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同等算力吞吐提升1倍</w:t>
            </w:r>
          </w:p>
        </w:tc>
        <w:tc>
          <w:tcPr>
            <w:tcW w:w="1128" w:type="dxa"/>
            <w:vAlign w:val="center"/>
          </w:tcPr>
          <w:p w14:paraId="7458EE95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高</w:t>
            </w:r>
          </w:p>
        </w:tc>
      </w:tr>
      <w:tr w14:paraId="2E3E1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455E2890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w="1689" w:type="dxa"/>
            <w:vAlign w:val="center"/>
          </w:tcPr>
          <w:p w14:paraId="00BC63CB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数据溯源性</w:t>
            </w:r>
          </w:p>
        </w:tc>
        <w:tc>
          <w:tcPr>
            <w:tcW w:w="2347" w:type="dxa"/>
            <w:vAlign w:val="center"/>
          </w:tcPr>
          <w:p w14:paraId="3E26AAF0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结论不可拆解</w:t>
            </w:r>
          </w:p>
        </w:tc>
        <w:tc>
          <w:tcPr>
            <w:tcW w:w="2460" w:type="dxa"/>
            <w:vAlign w:val="center"/>
          </w:tcPr>
          <w:p w14:paraId="423AA4F5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统计数字可追溯至原始凭证</w:t>
            </w:r>
          </w:p>
        </w:tc>
        <w:tc>
          <w:tcPr>
            <w:tcW w:w="1128" w:type="dxa"/>
            <w:vAlign w:val="center"/>
          </w:tcPr>
          <w:p w14:paraId="2478C02F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中</w:t>
            </w:r>
          </w:p>
        </w:tc>
      </w:tr>
      <w:tr w14:paraId="0EB22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360F80E7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w="1689" w:type="dxa"/>
            <w:vAlign w:val="center"/>
          </w:tcPr>
          <w:p w14:paraId="65A1059B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规则运营</w:t>
            </w:r>
          </w:p>
        </w:tc>
        <w:tc>
          <w:tcPr>
            <w:tcW w:w="2347" w:type="dxa"/>
            <w:vAlign w:val="center"/>
          </w:tcPr>
          <w:p w14:paraId="0F162734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人工修复补规则</w:t>
            </w:r>
          </w:p>
        </w:tc>
        <w:tc>
          <w:tcPr>
            <w:tcW w:w="2460" w:type="dxa"/>
            <w:vAlign w:val="center"/>
          </w:tcPr>
          <w:p w14:paraId="2DE05F80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自动归因与规则推荐</w:t>
            </w:r>
          </w:p>
        </w:tc>
        <w:tc>
          <w:tcPr>
            <w:tcW w:w="1128" w:type="dxa"/>
            <w:vAlign w:val="center"/>
          </w:tcPr>
          <w:p w14:paraId="3A21CF7C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中</w:t>
            </w:r>
          </w:p>
        </w:tc>
      </w:tr>
      <w:tr w14:paraId="12333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67FF7405"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w="1689" w:type="dxa"/>
            <w:vAlign w:val="center"/>
          </w:tcPr>
          <w:p w14:paraId="2EE5342C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分析能力</w:t>
            </w:r>
          </w:p>
        </w:tc>
        <w:tc>
          <w:tcPr>
            <w:tcW w:w="2347" w:type="dxa"/>
            <w:vAlign w:val="center"/>
          </w:tcPr>
          <w:p w14:paraId="712B45E1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仅支持单笔审核</w:t>
            </w:r>
          </w:p>
        </w:tc>
        <w:tc>
          <w:tcPr>
            <w:tcW w:w="2460" w:type="dxa"/>
            <w:vAlign w:val="center"/>
          </w:tcPr>
          <w:p w14:paraId="16961727">
            <w:pPr>
              <w:keepNext/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区域与费用类型趋势分析</w:t>
            </w:r>
          </w:p>
        </w:tc>
        <w:tc>
          <w:tcPr>
            <w:tcW w:w="1128" w:type="dxa"/>
            <w:vAlign w:val="center"/>
          </w:tcPr>
          <w:p w14:paraId="167BAB4D">
            <w:pPr>
              <w:keepNext/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中</w:t>
            </w:r>
          </w:p>
        </w:tc>
      </w:tr>
      <w:tr w14:paraId="7306A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2" w:type="dxa"/>
            <w:vAlign w:val="center"/>
          </w:tcPr>
          <w:p w14:paraId="4DAF7D7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w="1689" w:type="dxa"/>
            <w:vAlign w:val="center"/>
          </w:tcPr>
          <w:p w14:paraId="4AE6B0A7">
            <w:pPr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工程基础设施</w:t>
            </w:r>
          </w:p>
        </w:tc>
        <w:tc>
          <w:tcPr>
            <w:tcW w:w="2347" w:type="dxa"/>
            <w:vAlign w:val="center"/>
          </w:tcPr>
          <w:p w14:paraId="32AFA3D3">
            <w:pPr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压缩平台、耗时分析、双环境</w:t>
            </w:r>
          </w:p>
        </w:tc>
        <w:tc>
          <w:tcPr>
            <w:tcW w:w="2460" w:type="dxa"/>
            <w:vAlign w:val="center"/>
          </w:tcPr>
          <w:p w14:paraId="0930BB7B">
            <w:pPr>
              <w:spacing w:before="20" w:after="20" w:line="240" w:lineRule="auto"/>
              <w:jc w:val="left"/>
            </w:pPr>
            <w:r>
              <w:rPr>
                <w:rFonts w:hint="eastAsia" w:ascii="Times New Roman" w:hAnsi="Times New Roman" w:eastAsia="宋体"/>
                <w:sz w:val="18"/>
              </w:rPr>
              <w:t>纳入标准产品版本</w:t>
            </w:r>
          </w:p>
        </w:tc>
        <w:tc>
          <w:tcPr>
            <w:tcW w:w="1128" w:type="dxa"/>
            <w:vAlign w:val="center"/>
          </w:tcPr>
          <w:p w14:paraId="6CE18F46">
            <w:pPr>
              <w:spacing w:before="20" w:after="20" w:line="240" w:lineRule="auto"/>
              <w:jc w:val="center"/>
            </w:pPr>
            <w:r>
              <w:rPr>
                <w:rFonts w:hint="eastAsia" w:ascii="Times New Roman" w:hAnsi="Times New Roman" w:eastAsia="宋体"/>
                <w:sz w:val="18"/>
              </w:rPr>
              <w:t>高</w:t>
            </w:r>
          </w:p>
        </w:tc>
      </w:tr>
    </w:tbl>
    <w:p w14:paraId="5C8799AC">
      <w:pPr>
        <w:spacing w:after="0" w:line="240" w:lineRule="auto"/>
      </w:pPr>
    </w:p>
    <w:sectPr>
      <w:footerReference r:id="rId5" w:type="default"/>
      <w:pgSz w:w="11906" w:h="16838"/>
      <w:pgMar w:top="1440" w:right="1803" w:bottom="1440" w:left="1803" w:header="720" w:footer="720" w:gutter="0"/>
      <w:pgNumType w:start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AA15B">
    <w:pPr>
      <w:pStyle w:val="24"/>
      <w:jc w:val="center"/>
    </w:pPr>
    <w:r>
      <w:rPr>
        <w:rFonts w:ascii="Times New Roman" w:hAnsi="Times New Roman" w:eastAsia="宋体"/>
        <w:color w:val="808080"/>
        <w:sz w:val="18"/>
      </w:rPr>
      <w:fldChar w:fldCharType="begin"/>
    </w:r>
    <w:r>
      <w:rPr>
        <w:rFonts w:ascii="Times New Roman" w:hAnsi="Times New Roman" w:eastAsia="宋体"/>
        <w:color w:val="808080"/>
        <w:sz w:val="18"/>
      </w:rPr>
      <w:instrText xml:space="preserve"> PAGE </w:instrText>
    </w:r>
    <w:r>
      <w:rPr>
        <w:rFonts w:ascii="Times New Roman" w:hAnsi="Times New Roman" w:eastAsia="宋体"/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F61CD7"/>
    <w:rsid w:val="0CB819EA"/>
    <w:rsid w:val="272E3938"/>
    <w:rsid w:val="35BC2335"/>
    <w:rsid w:val="433D6BDD"/>
    <w:rsid w:val="46D80904"/>
    <w:rsid w:val="47243FC5"/>
    <w:rsid w:val="54982858"/>
    <w:rsid w:val="5BA629EB"/>
    <w:rsid w:val="67AD04FA"/>
    <w:rsid w:val="78A029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insoku/>
      <w:overflowPunct/>
      <w:autoSpaceDE/>
      <w:autoSpaceDN/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4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3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3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kinsoku/>
      <w:overflowPunct/>
      <w:autoSpaceDE/>
      <w:autoSpaceDN/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3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9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6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6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5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3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5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6">
    <w:name w:val="Body Text 2 Char"/>
    <w:basedOn w:val="132"/>
    <w:link w:val="28"/>
    <w:qFormat/>
    <w:uiPriority w:val="99"/>
  </w:style>
  <w:style w:type="character" w:customStyle="1" w:styleId="137">
    <w:name w:val="Body Text 3 Char"/>
    <w:basedOn w:val="132"/>
    <w:link w:val="17"/>
    <w:qFormat/>
    <w:uiPriority w:val="99"/>
    <w:rPr>
      <w:sz w:val="16"/>
      <w:szCs w:val="16"/>
    </w:rPr>
  </w:style>
  <w:style w:type="paragraph" w:styleId="138">
    <w:name w:val="List Paragraph"/>
    <w:basedOn w:val="1"/>
    <w:qFormat/>
    <w:uiPriority w:val="34"/>
    <w:pPr>
      <w:ind w:left="720"/>
      <w:contextualSpacing/>
    </w:pPr>
  </w:style>
  <w:style w:type="paragraph" w:styleId="139">
    <w:name w:val="Intense Quote"/>
    <w:basedOn w:val="1"/>
    <w:next w:val="1"/>
    <w:link w:val="155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141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42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44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styleId="145">
    <w:name w:val="No Spacing"/>
    <w:qFormat/>
    <w:uiPriority w:val="1"/>
    <w:pPr>
      <w:kinsoku/>
      <w:overflowPunct/>
      <w:autoSpaceDE/>
      <w:autoSpaceDN/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6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47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48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49">
    <w:name w:val="Body Text Char"/>
    <w:basedOn w:val="132"/>
    <w:link w:val="19"/>
    <w:qFormat/>
    <w:uiPriority w:val="99"/>
  </w:style>
  <w:style w:type="character" w:customStyle="1" w:styleId="150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paragraph" w:styleId="151">
    <w:name w:val="Quote"/>
    <w:basedOn w:val="1"/>
    <w:next w:val="1"/>
    <w:link w:val="16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3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54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Intense Quote Char"/>
    <w:basedOn w:val="132"/>
    <w:link w:val="13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7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0">
    <w:name w:val="Footer Char"/>
    <w:basedOn w:val="132"/>
    <w:link w:val="24"/>
    <w:qFormat/>
    <w:uiPriority w:val="99"/>
  </w:style>
  <w:style w:type="character" w:customStyle="1" w:styleId="161">
    <w:name w:val="Quote Char"/>
    <w:basedOn w:val="132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2">
    <w:name w:val="Header Char"/>
    <w:basedOn w:val="132"/>
    <w:link w:val="25"/>
    <w:uiPriority w:val="99"/>
  </w:style>
  <w:style w:type="character" w:customStyle="1" w:styleId="163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41</Words>
  <Characters>46</Characters>
  <TotalTime>1</TotalTime>
  <ScaleCrop>false</ScaleCrop>
  <LinksUpToDate>false</LinksUpToDate>
  <CharactersWithSpaces>46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2026-10-19T16:56:00Z</dcterms:created>
  <dc:creator>JoJo</dc:creator>
  <cp:lastModifiedBy>a</cp:lastModifiedBy>
  <dcterms:modified xsi:type="dcterms:W3CDTF">2026-10-20T21:30:50Z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A69F6F898A664AA685630E44EF83BAB1_13</vt:lpwstr>
  </property>
</Properties>
</file>