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C2A6E">
      <w:pPr>
        <w:spacing w:before="120" w:after="120"/>
        <w:jc w:val="center"/>
        <w:outlineLvl w:val="0"/>
      </w:pPr>
      <w:r>
        <w:rPr>
          <w:rFonts w:ascii="Arial" w:hAnsi="Arial" w:eastAsia="黑体"/>
          <w:b/>
          <w:sz w:val="32"/>
        </w:rPr>
        <w:t>福建港口集团POC演示待办清单</w:t>
      </w:r>
    </w:p>
    <w:p w14:paraId="59ACB70F">
      <w:pPr>
        <w:spacing w:after="200"/>
        <w:jc w:val="center"/>
        <w:outlineLvl w:val="0"/>
      </w:pPr>
      <w:r>
        <w:rPr>
          <w:rFonts w:ascii="Times New Roman" w:hAnsi="Times New Roman" w:eastAsia="宋体"/>
          <w:color w:val="595959"/>
          <w:sz w:val="21"/>
        </w:rPr>
        <w:t>2026年10月25日</w:t>
      </w:r>
    </w:p>
    <w:p w14:paraId="4F4DFD04">
      <w:pPr>
        <w:spacing w:before="240" w:after="120" w:line="312" w:lineRule="auto"/>
        <w:outlineLvl w:val="0"/>
      </w:pPr>
      <w:r>
        <w:rPr>
          <w:rFonts w:ascii="Arial" w:hAnsi="Arial" w:eastAsia="黑体"/>
          <w:b/>
          <w:sz w:val="28"/>
        </w:rPr>
        <w:t>一、编制说明</w:t>
      </w:r>
    </w:p>
    <w:p w14:paraId="3F73455C">
      <w:pPr>
        <w:spacing w:before="0" w:after="60" w:line="360" w:lineRule="auto"/>
        <w:ind w:firstLine="420" w:firstLineChars="200"/>
        <w:jc w:val="both"/>
      </w:pPr>
      <w:r>
        <w:rPr>
          <w:rFonts w:ascii="Times New Roman" w:hAnsi="Times New Roman" w:eastAsia="宋体"/>
          <w:sz w:val="21"/>
        </w:rPr>
        <w:t>本清单依据10月25日项目内部沟通会整理，用于锁定10月26日上午客户演示前必须完成的五项工作，并明确各项工作的责任方与验收标准。清单由前端侧整理后同步至项目群与何老师，双方按表2节点并行推进，成果合并后统一部署至部门服务器联调。</w:t>
      </w:r>
    </w:p>
    <w:p w14:paraId="3D3B36CA">
      <w:pPr>
        <w:spacing w:before="240" w:after="120" w:line="312" w:lineRule="auto"/>
        <w:outlineLvl w:val="0"/>
      </w:pPr>
      <w:r>
        <w:rPr>
          <w:rFonts w:ascii="Arial" w:hAnsi="Arial" w:eastAsia="黑体"/>
          <w:b/>
          <w:sz w:val="28"/>
        </w:rPr>
        <w:t>二、演示前待办事项</w:t>
      </w:r>
    </w:p>
    <w:p w14:paraId="18C273FD">
      <w:pPr>
        <w:spacing w:before="160" w:after="60"/>
        <w:jc w:val="center"/>
      </w:pPr>
      <w:r>
        <w:rPr>
          <w:rFonts w:ascii="Arial" w:hAnsi="Arial" w:eastAsia="黑体"/>
          <w:b/>
          <w:sz w:val="21"/>
        </w:rPr>
        <w:t>表1演示前待办事项清单</w:t>
      </w:r>
    </w:p>
    <w:tbl>
      <w:tblPr>
        <w:tblStyle w:val="33"/>
        <w:tblW w:w="82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1"/>
        <w:gridCol w:w="1508"/>
        <w:gridCol w:w="2115"/>
        <w:gridCol w:w="2866"/>
        <w:gridCol w:w="1154"/>
      </w:tblGrid>
      <w:tr w14:paraId="35686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1" w:type="dxa"/>
            <w:shd w:val="clear" w:color="auto" w:fill="F0F0F0"/>
            <w:vAlign w:val="center"/>
          </w:tcPr>
          <w:p w14:paraId="0D5F44E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w="1508" w:type="dxa"/>
            <w:shd w:val="clear" w:color="auto" w:fill="F0F0F0"/>
            <w:vAlign w:val="center"/>
          </w:tcPr>
          <w:p w14:paraId="6ABA698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待办事项</w:t>
            </w:r>
          </w:p>
        </w:tc>
        <w:tc>
          <w:tcPr>
            <w:tcW w:w="2115" w:type="dxa"/>
            <w:shd w:val="clear" w:color="auto" w:fill="F0F0F0"/>
            <w:vAlign w:val="center"/>
          </w:tcPr>
          <w:p w14:paraId="24F8097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当前状况</w:t>
            </w:r>
          </w:p>
        </w:tc>
        <w:tc>
          <w:tcPr>
            <w:tcW w:w="2866" w:type="dxa"/>
            <w:shd w:val="clear" w:color="auto" w:fill="F0F0F0"/>
            <w:vAlign w:val="center"/>
          </w:tcPr>
          <w:p w14:paraId="3219F57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完成要求</w:t>
            </w:r>
          </w:p>
        </w:tc>
        <w:tc>
          <w:tcPr>
            <w:tcW w:w="1154" w:type="dxa"/>
            <w:shd w:val="clear" w:color="auto" w:fill="F0F0F0"/>
            <w:vAlign w:val="center"/>
          </w:tcPr>
          <w:p w14:paraId="37B6749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责任方</w:t>
            </w:r>
          </w:p>
        </w:tc>
      </w:tr>
      <w:tr w14:paraId="555DF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1" w:type="dxa"/>
            <w:vAlign w:val="center"/>
          </w:tcPr>
          <w:p w14:paraId="1AF65CD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w="1508" w:type="dxa"/>
            <w:vAlign w:val="center"/>
          </w:tcPr>
          <w:p w14:paraId="57D33D17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真实工单附件补齐</w:t>
            </w:r>
          </w:p>
        </w:tc>
        <w:tc>
          <w:tcPr>
            <w:tcW w:w="2115" w:type="dxa"/>
            <w:vAlign w:val="center"/>
          </w:tcPr>
          <w:p w14:paraId="6F71E78B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演示需展示审核角色的真实业务单据，附件未能随单据带出；数据导入新环境后部分附件缺失</w:t>
            </w:r>
          </w:p>
        </w:tc>
        <w:tc>
          <w:tcPr>
            <w:tcW w:w="2866" w:type="dxa"/>
            <w:vAlign w:val="center"/>
          </w:tcPr>
          <w:p w14:paraId="24AF6730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以真实业务单据为准，在单据详情页可直接查看并打开附件。若新环境短期内无法解决附件带出问题，演示改用数据完整的环境</w:t>
            </w:r>
          </w:p>
        </w:tc>
        <w:tc>
          <w:tcPr>
            <w:tcW w:w="1154" w:type="dxa"/>
            <w:vAlign w:val="center"/>
          </w:tcPr>
          <w:p w14:paraId="6D3DE139">
            <w:pPr>
              <w:spacing w:before="20" w:after="2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周柳航</w:t>
            </w:r>
          </w:p>
        </w:tc>
      </w:tr>
      <w:tr w14:paraId="179C6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1" w:type="dxa"/>
            <w:shd w:val="clear"/>
            <w:vAlign w:val="center"/>
          </w:tcPr>
          <w:p w14:paraId="3F11EBEB">
            <w:pPr>
              <w:spacing w:before="20" w:after="20" w:line="240" w:lineRule="auto"/>
              <w:jc w:val="center"/>
              <w:rPr>
                <w:rFonts w:hint="eastAsia" w:ascii="Times New Roman" w:hAnsi="Times New Roman" w:eastAsia="宋体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 w:val="18"/>
                <w:lang w:val="en-US" w:eastAsia="zh-CN"/>
              </w:rPr>
              <w:t>2</w:t>
            </w:r>
          </w:p>
        </w:tc>
        <w:tc>
          <w:tcPr>
            <w:tcW w:w="1508" w:type="dxa"/>
            <w:shd w:val="clear"/>
            <w:vAlign w:val="center"/>
          </w:tcPr>
          <w:p w14:paraId="64732378">
            <w:pPr>
              <w:spacing w:before="20" w:after="20" w:line="240" w:lineRule="auto"/>
              <w:jc w:val="left"/>
              <w:rPr>
                <w:rFonts w:ascii="Times New Roman" w:hAnsi="Times New Roman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sz w:val="18"/>
              </w:rPr>
              <w:t>合同规则制度文件库查看已上传材料</w:t>
            </w:r>
          </w:p>
        </w:tc>
        <w:tc>
          <w:tcPr>
            <w:tcW w:w="2115" w:type="dxa"/>
            <w:shd w:val="clear"/>
            <w:vAlign w:val="center"/>
          </w:tcPr>
          <w:p w14:paraId="79F1092C">
            <w:pPr>
              <w:spacing w:before="20" w:after="20" w:line="240" w:lineRule="auto"/>
              <w:jc w:val="left"/>
              <w:rPr>
                <w:rFonts w:ascii="Times New Roman" w:hAnsi="Times New Roman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sz w:val="18"/>
              </w:rPr>
              <w:t>此前上传的制度文件不在当前演示环境，系统内暂无法查看已上传材料清单</w:t>
            </w:r>
          </w:p>
        </w:tc>
        <w:tc>
          <w:tcPr>
            <w:tcW w:w="2866" w:type="dxa"/>
            <w:shd w:val="clear"/>
            <w:vAlign w:val="center"/>
          </w:tcPr>
          <w:p w14:paraId="5D3DFB27">
            <w:pPr>
              <w:spacing w:before="20" w:after="20" w:line="240" w:lineRule="auto"/>
              <w:jc w:val="left"/>
              <w:rPr>
                <w:rFonts w:ascii="Times New Roman" w:hAnsi="Times New Roman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sz w:val="18"/>
              </w:rPr>
              <w:t>客户在合同规则制度文件库页面内即可看到已上传材料清单及文件，不依赖打开本地文件夹</w:t>
            </w:r>
          </w:p>
        </w:tc>
        <w:tc>
          <w:tcPr>
            <w:tcW w:w="1154" w:type="dxa"/>
            <w:shd w:val="clear"/>
            <w:vAlign w:val="center"/>
          </w:tcPr>
          <w:p w14:paraId="55D850D2">
            <w:pPr>
              <w:spacing w:before="20" w:after="20" w:line="240" w:lineRule="auto"/>
              <w:jc w:val="center"/>
              <w:rPr>
                <w:rFonts w:hint="eastAsia" w:ascii="Times New Roman" w:hAnsi="Times New Roman" w:eastAsia="宋体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 w:val="18"/>
                <w:lang w:eastAsia="zh-CN"/>
              </w:rPr>
              <w:t>周柳航</w:t>
            </w:r>
          </w:p>
        </w:tc>
      </w:tr>
      <w:tr w14:paraId="30357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1" w:type="dxa"/>
            <w:vAlign w:val="center"/>
          </w:tcPr>
          <w:p w14:paraId="77FAB17D">
            <w:pPr>
              <w:spacing w:before="20" w:after="2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3</w:t>
            </w:r>
          </w:p>
        </w:tc>
        <w:tc>
          <w:tcPr>
            <w:tcW w:w="1508" w:type="dxa"/>
            <w:vAlign w:val="center"/>
          </w:tcPr>
          <w:p w14:paraId="4B1722C1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规则抽取现场测试</w:t>
            </w:r>
          </w:p>
        </w:tc>
        <w:tc>
          <w:tcPr>
            <w:tcW w:w="2115" w:type="dxa"/>
            <w:vAlign w:val="center"/>
          </w:tcPr>
          <w:p w14:paraId="72FECF79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规则抽取能力尚未在演示环境验证，需由后端侧确认当前可用性</w:t>
            </w:r>
          </w:p>
        </w:tc>
        <w:tc>
          <w:tcPr>
            <w:tcW w:w="2866" w:type="dxa"/>
            <w:vAlign w:val="center"/>
          </w:tcPr>
          <w:p w14:paraId="57CD9C53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演示现场可完整执行一次规则抽取，从制度文件导入到抽取结果生成全流程走通，结果可正常阅读</w:t>
            </w:r>
          </w:p>
        </w:tc>
        <w:tc>
          <w:tcPr>
            <w:tcW w:w="1154" w:type="dxa"/>
            <w:vAlign w:val="center"/>
          </w:tcPr>
          <w:p w14:paraId="525E9813">
            <w:pPr>
              <w:spacing w:before="20" w:after="2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周柳航</w:t>
            </w:r>
          </w:p>
        </w:tc>
      </w:tr>
      <w:tr w14:paraId="732C1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1" w:type="dxa"/>
            <w:vAlign w:val="center"/>
          </w:tcPr>
          <w:p w14:paraId="7928533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w="1508" w:type="dxa"/>
            <w:vAlign w:val="center"/>
          </w:tcPr>
          <w:p w14:paraId="4E987EDB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专家确认测试</w:t>
            </w:r>
          </w:p>
        </w:tc>
        <w:tc>
          <w:tcPr>
            <w:tcW w:w="2115" w:type="dxa"/>
            <w:vAlign w:val="center"/>
          </w:tcPr>
          <w:p w14:paraId="3D955E55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专家确认环节的确认与驳回动作当前无法点击；专家署名采用手工填写姓名的方式</w:t>
            </w:r>
          </w:p>
        </w:tc>
        <w:tc>
          <w:tcPr>
            <w:tcW w:w="2866" w:type="dxa"/>
            <w:vAlign w:val="center"/>
          </w:tcPr>
          <w:p w14:paraId="70508911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确认与驳回动作均可正常执行并留痕；专家身份改为从人员清单或账号中选择，取消手工输入姓名</w:t>
            </w:r>
          </w:p>
        </w:tc>
        <w:tc>
          <w:tcPr>
            <w:tcW w:w="1154" w:type="dxa"/>
            <w:vAlign w:val="center"/>
          </w:tcPr>
          <w:p w14:paraId="7ABB5ECE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18"/>
                <w:lang w:eastAsia="zh-CN"/>
              </w:rPr>
              <w:t>周柳航</w:t>
            </w:r>
          </w:p>
        </w:tc>
      </w:tr>
      <w:tr w14:paraId="4530C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1" w:type="dxa"/>
            <w:vAlign w:val="center"/>
          </w:tcPr>
          <w:p w14:paraId="52A65FC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w="1508" w:type="dxa"/>
            <w:vAlign w:val="center"/>
          </w:tcPr>
          <w:p w14:paraId="36AEC597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人员权限配置</w:t>
            </w:r>
          </w:p>
        </w:tc>
        <w:tc>
          <w:tcPr>
            <w:tcW w:w="2115" w:type="dxa"/>
            <w:vAlign w:val="center"/>
          </w:tcPr>
          <w:p w14:paraId="2F7BB70E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目前仅内置4个账号，不支持新增与编辑</w:t>
            </w:r>
          </w:p>
        </w:tc>
        <w:tc>
          <w:tcPr>
            <w:tcW w:w="2866" w:type="dxa"/>
            <w:vAlign w:val="center"/>
          </w:tcPr>
          <w:p w14:paraId="60B3D778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支持人员新增、编辑与权限分配。若时间不足，本次演示按现有账号展示，功能随后迭代补齐</w:t>
            </w:r>
          </w:p>
        </w:tc>
        <w:tc>
          <w:tcPr>
            <w:tcW w:w="1154" w:type="dxa"/>
            <w:vAlign w:val="center"/>
          </w:tcPr>
          <w:p w14:paraId="1A90888D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18"/>
                <w:lang w:eastAsia="zh-CN"/>
              </w:rPr>
              <w:t>周柳航</w:t>
            </w:r>
          </w:p>
        </w:tc>
      </w:tr>
    </w:tbl>
    <w:p w14:paraId="3C27E1C1">
      <w:pPr>
        <w:spacing w:after="0" w:line="240" w:lineRule="auto"/>
      </w:pPr>
    </w:p>
    <w:p w14:paraId="1139F450">
      <w:pPr>
        <w:pageBreakBefore/>
        <w:spacing w:before="240" w:after="120" w:line="312" w:lineRule="auto"/>
        <w:outlineLvl w:val="0"/>
      </w:pPr>
      <w:r>
        <w:rPr>
          <w:rFonts w:ascii="Arial" w:hAnsi="Arial" w:eastAsia="黑体"/>
          <w:b/>
          <w:sz w:val="28"/>
        </w:rPr>
        <w:t>三、分工与推进安排</w:t>
      </w:r>
    </w:p>
    <w:p w14:paraId="78D77266">
      <w:pPr>
        <w:spacing w:before="160" w:after="60"/>
        <w:jc w:val="center"/>
      </w:pPr>
      <w:r>
        <w:rPr>
          <w:rFonts w:ascii="Arial" w:hAnsi="Arial" w:eastAsia="黑体"/>
          <w:b/>
          <w:sz w:val="21"/>
        </w:rPr>
        <w:t>表2分工与时间节点</w:t>
      </w:r>
    </w:p>
    <w:tbl>
      <w:tblPr>
        <w:tblStyle w:val="33"/>
        <w:tblW w:w="82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1763"/>
        <w:gridCol w:w="3708"/>
        <w:gridCol w:w="2149"/>
      </w:tblGrid>
      <w:tr w14:paraId="7A5FC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58" w:type="dxa"/>
            <w:shd w:val="clear" w:color="auto" w:fill="F0F0F0"/>
            <w:vAlign w:val="center"/>
          </w:tcPr>
          <w:p w14:paraId="34F85EA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w="1763" w:type="dxa"/>
            <w:shd w:val="clear" w:color="auto" w:fill="F0F0F0"/>
            <w:vAlign w:val="center"/>
          </w:tcPr>
          <w:p w14:paraId="7F1E98FF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时间</w:t>
            </w:r>
          </w:p>
        </w:tc>
        <w:tc>
          <w:tcPr>
            <w:tcW w:w="3708" w:type="dxa"/>
            <w:shd w:val="clear" w:color="auto" w:fill="F0F0F0"/>
            <w:vAlign w:val="center"/>
          </w:tcPr>
          <w:p w14:paraId="2E38DE9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工作内容</w:t>
            </w:r>
          </w:p>
        </w:tc>
        <w:tc>
          <w:tcPr>
            <w:tcW w:w="2149" w:type="dxa"/>
            <w:shd w:val="clear" w:color="auto" w:fill="F0F0F0"/>
            <w:vAlign w:val="center"/>
          </w:tcPr>
          <w:p w14:paraId="732699E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责任方</w:t>
            </w:r>
          </w:p>
        </w:tc>
      </w:tr>
      <w:tr w14:paraId="12595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8" w:type="dxa"/>
            <w:vAlign w:val="center"/>
          </w:tcPr>
          <w:p w14:paraId="523EB59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w="1763" w:type="dxa"/>
            <w:vAlign w:val="center"/>
          </w:tcPr>
          <w:p w14:paraId="1C7F7DC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10月25日</w:t>
            </w:r>
          </w:p>
        </w:tc>
        <w:tc>
          <w:tcPr>
            <w:tcW w:w="3708" w:type="dxa"/>
            <w:vAlign w:val="center"/>
          </w:tcPr>
          <w:p w14:paraId="21DF02F1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整理待办清单</w:t>
            </w:r>
          </w:p>
        </w:tc>
        <w:tc>
          <w:tcPr>
            <w:tcW w:w="2149" w:type="dxa"/>
            <w:vAlign w:val="center"/>
          </w:tcPr>
          <w:p w14:paraId="4AB42814">
            <w:pPr>
              <w:spacing w:before="20" w:after="20" w:line="240" w:lineRule="auto"/>
              <w:jc w:val="left"/>
            </w:pPr>
            <w:r>
              <w:rPr>
                <w:rFonts w:hint="eastAsia"/>
                <w:sz w:val="18"/>
                <w:lang w:eastAsia="zh-CN"/>
              </w:rPr>
              <w:t>周柳航</w:t>
            </w:r>
          </w:p>
        </w:tc>
      </w:tr>
      <w:tr w14:paraId="1E09C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8" w:type="dxa"/>
            <w:vAlign w:val="center"/>
          </w:tcPr>
          <w:p w14:paraId="60E0179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w="1763" w:type="dxa"/>
            <w:vAlign w:val="center"/>
          </w:tcPr>
          <w:p w14:paraId="0C7AB28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10月25日</w:t>
            </w:r>
          </w:p>
        </w:tc>
        <w:tc>
          <w:tcPr>
            <w:tcW w:w="3708" w:type="dxa"/>
            <w:vAlign w:val="center"/>
          </w:tcPr>
          <w:p w14:paraId="20DC21C1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完成表1前四项的数据补齐与功能实现</w:t>
            </w:r>
          </w:p>
        </w:tc>
        <w:tc>
          <w:tcPr>
            <w:tcW w:w="2149" w:type="dxa"/>
            <w:vAlign w:val="center"/>
          </w:tcPr>
          <w:p w14:paraId="1126F406">
            <w:pPr>
              <w:spacing w:before="20" w:after="2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周柳航</w:t>
            </w:r>
          </w:p>
        </w:tc>
      </w:tr>
      <w:tr w14:paraId="10A16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8" w:type="dxa"/>
            <w:vAlign w:val="center"/>
          </w:tcPr>
          <w:p w14:paraId="5466688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w="1763" w:type="dxa"/>
            <w:vAlign w:val="center"/>
          </w:tcPr>
          <w:p w14:paraId="2B6B276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10月25日</w:t>
            </w:r>
          </w:p>
        </w:tc>
        <w:tc>
          <w:tcPr>
            <w:tcW w:w="3708" w:type="dxa"/>
            <w:vAlign w:val="center"/>
          </w:tcPr>
          <w:p w14:paraId="1ECA85A5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完成界面与交互项验证，含专家确认、人员权限、系统抬头调整</w:t>
            </w:r>
          </w:p>
        </w:tc>
        <w:tc>
          <w:tcPr>
            <w:tcW w:w="2149" w:type="dxa"/>
            <w:vAlign w:val="center"/>
          </w:tcPr>
          <w:p w14:paraId="484762C0">
            <w:pPr>
              <w:spacing w:before="20" w:after="20" w:line="240" w:lineRule="auto"/>
              <w:jc w:val="left"/>
            </w:pPr>
            <w:r>
              <w:rPr>
                <w:rFonts w:hint="eastAsia"/>
                <w:sz w:val="18"/>
                <w:lang w:eastAsia="zh-CN"/>
              </w:rPr>
              <w:t>周柳航</w:t>
            </w:r>
          </w:p>
        </w:tc>
      </w:tr>
      <w:tr w14:paraId="0FEA0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8" w:type="dxa"/>
            <w:vAlign w:val="center"/>
          </w:tcPr>
          <w:p w14:paraId="3D03AC6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w="1763" w:type="dxa"/>
            <w:vAlign w:val="center"/>
          </w:tcPr>
          <w:p w14:paraId="228D430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10月25日</w:t>
            </w:r>
          </w:p>
        </w:tc>
        <w:tc>
          <w:tcPr>
            <w:tcW w:w="3708" w:type="dxa"/>
            <w:vAlign w:val="center"/>
          </w:tcPr>
          <w:p w14:paraId="651AD973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前后端成果合并，部署至部门服务器并开通VPN联调</w:t>
            </w:r>
          </w:p>
        </w:tc>
        <w:tc>
          <w:tcPr>
            <w:tcW w:w="2149" w:type="dxa"/>
            <w:vAlign w:val="center"/>
          </w:tcPr>
          <w:p w14:paraId="33A86E3C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双方</w:t>
            </w:r>
          </w:p>
        </w:tc>
      </w:tr>
      <w:tr w14:paraId="13BB3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8" w:type="dxa"/>
            <w:vAlign w:val="center"/>
          </w:tcPr>
          <w:p w14:paraId="0D251B0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w="1763" w:type="dxa"/>
            <w:vAlign w:val="center"/>
          </w:tcPr>
          <w:p w14:paraId="5F71CEB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10月26日10:00</w:t>
            </w:r>
          </w:p>
        </w:tc>
        <w:tc>
          <w:tcPr>
            <w:tcW w:w="3708" w:type="dxa"/>
            <w:vAlign w:val="center"/>
          </w:tcPr>
          <w:p w14:paraId="5DAAD2B3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客户演示，现场汇报与线上支持同步就位</w:t>
            </w:r>
          </w:p>
        </w:tc>
        <w:tc>
          <w:tcPr>
            <w:tcW w:w="2149" w:type="dxa"/>
            <w:vAlign w:val="center"/>
          </w:tcPr>
          <w:p w14:paraId="14796A80">
            <w:pPr>
              <w:spacing w:before="20" w:after="20" w:line="240" w:lineRule="auto"/>
              <w:jc w:val="left"/>
            </w:pPr>
            <w:r>
              <w:rPr>
                <w:rFonts w:hint="eastAsia"/>
                <w:sz w:val="18"/>
                <w:lang w:eastAsia="zh-CN"/>
              </w:rPr>
              <w:t>政杰</w:t>
            </w:r>
            <w:r>
              <w:rPr>
                <w:rFonts w:ascii="Times New Roman" w:hAnsi="Times New Roman" w:eastAsia="宋体"/>
                <w:sz w:val="18"/>
              </w:rPr>
              <w:t>现场汇报，周柳航线上支持</w:t>
            </w:r>
          </w:p>
        </w:tc>
      </w:tr>
    </w:tbl>
    <w:p w14:paraId="10BA85BD">
      <w:pPr>
        <w:spacing w:after="0" w:line="240" w:lineRule="auto"/>
      </w:pPr>
    </w:p>
    <w:p w14:paraId="22A35E7C">
      <w:pPr>
        <w:spacing w:before="240" w:after="120" w:line="312" w:lineRule="auto"/>
        <w:outlineLvl w:val="0"/>
      </w:pPr>
      <w:r>
        <w:rPr>
          <w:rFonts w:ascii="Arial" w:hAnsi="Arial" w:eastAsia="黑体"/>
          <w:b/>
          <w:sz w:val="28"/>
        </w:rPr>
        <w:t>四、其他需同步确认事项</w:t>
      </w:r>
    </w:p>
    <w:p w14:paraId="78F3724D">
      <w:pPr>
        <w:spacing w:before="0" w:after="60" w:line="360" w:lineRule="auto"/>
        <w:ind w:firstLine="422" w:firstLineChars="200"/>
        <w:jc w:val="both"/>
      </w:pPr>
      <w:r>
        <w:rPr>
          <w:rFonts w:ascii="Times New Roman" w:hAnsi="Times New Roman" w:eastAsia="宋体"/>
          <w:b/>
          <w:sz w:val="21"/>
        </w:rPr>
        <w:t>一是</w:t>
      </w:r>
      <w:r>
        <w:rPr>
          <w:rFonts w:ascii="Times New Roman" w:hAnsi="Times New Roman" w:eastAsia="宋体"/>
          <w:sz w:val="21"/>
        </w:rPr>
        <w:t>系统抬头与logo由福建海运集团调整为福建省港口集团。福建海运集团为港口集团下属单位，本次演示统一使用上级集团名称，后台修改后需在演示环境确认生效。</w:t>
      </w:r>
    </w:p>
    <w:p w14:paraId="4AC92C5C">
      <w:pPr>
        <w:spacing w:before="0" w:after="60" w:line="360" w:lineRule="auto"/>
        <w:ind w:firstLine="422" w:firstLineChars="200"/>
        <w:jc w:val="both"/>
      </w:pPr>
      <w:r>
        <w:rPr>
          <w:rFonts w:ascii="Times New Roman" w:hAnsi="Times New Roman" w:eastAsia="宋体"/>
          <w:b/>
          <w:sz w:val="21"/>
        </w:rPr>
        <w:t>二是</w:t>
      </w:r>
      <w:r>
        <w:rPr>
          <w:rFonts w:ascii="Times New Roman" w:hAnsi="Times New Roman" w:eastAsia="宋体"/>
          <w:sz w:val="21"/>
        </w:rPr>
        <w:t>演示环境在本地环境、数据与环境侧环境、部门服务器三者之间确定，10月26日汇报前锁定，选定后不再变更，各项数据准备以最终环境为准。</w:t>
      </w:r>
    </w:p>
    <w:p w14:paraId="08472F43">
      <w:pPr>
        <w:spacing w:before="0" w:after="60" w:line="360" w:lineRule="auto"/>
        <w:ind w:firstLine="422" w:firstLineChars="200"/>
        <w:jc w:val="both"/>
      </w:pPr>
      <w:r>
        <w:rPr>
          <w:rFonts w:ascii="Times New Roman" w:hAnsi="Times New Roman" w:eastAsia="宋体"/>
          <w:b/>
          <w:sz w:val="21"/>
        </w:rPr>
        <w:t>三是</w:t>
      </w:r>
      <w:r>
        <w:rPr>
          <w:rFonts w:ascii="Times New Roman" w:hAnsi="Times New Roman" w:eastAsia="宋体"/>
          <w:sz w:val="21"/>
        </w:rPr>
        <w:t>客户对本次演示结果认可后，将进入现场数据测试阶段，需提前安排驻场人员与网络接入，具体人员与时间由部门统一调配。</w:t>
      </w:r>
    </w:p>
    <w:sectPr>
      <w:footerReference r:id="rId5" w:type="default"/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CDD98">
    <w:pPr>
      <w:pStyle w:val="24"/>
      <w:jc w:val="center"/>
    </w:pPr>
    <w:r>
      <w:rPr>
        <w:rFonts w:ascii="Times New Roman" w:hAnsi="Times New Roman" w:eastAsia="宋体"/>
        <w:color w:val="808080"/>
        <w:sz w:val="18"/>
      </w:rPr>
      <w:fldChar w:fldCharType="begin"/>
    </w:r>
    <w:r>
      <w:rPr>
        <w:rFonts w:ascii="Times New Roman" w:hAnsi="Times New Roman" w:eastAsia="宋体"/>
        <w:color w:val="808080"/>
        <w:sz w:val="18"/>
      </w:rPr>
      <w:instrText xml:space="preserve"> PAGE </w:instrText>
    </w:r>
    <w:r>
      <w:rPr>
        <w:rFonts w:ascii="Times New Roman" w:hAnsi="Times New Roman" w:eastAsia="宋体"/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363283"/>
    <w:rsid w:val="49C45812"/>
    <w:rsid w:val="5EE52114"/>
    <w:rsid w:val="620657EC"/>
    <w:rsid w:val="6E0A6B18"/>
    <w:rsid w:val="7D52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/>
      <w:overflowPunct/>
      <w:autoSpaceDE/>
      <w:autoSpaceDN/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kinsoku/>
      <w:overflowPunct/>
      <w:autoSpaceDE/>
      <w:autoSpaceDN/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kinsoku/>
      <w:overflowPunct/>
      <w:autoSpaceDE/>
      <w:autoSpaceDN/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FDE 项目组</dc:creator>
  <dc:description>generated by python-docx</dc:description>
  <cp:lastModifiedBy>JoJo</cp:lastModifiedBy>
  <dcterms:modified xsi:type="dcterms:W3CDTF">2026-10-25T16:14:28Z</dcterms:modified>
  <dc:title>福建港口集团POC演示待办清单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5F27D213A9B842659712F6DF8EE97A25_12</vt:lpwstr>
  </property>
</Properties>
</file>