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DE6B0">
      <w:pPr>
        <w:spacing w:before="120" w:after="80"/>
        <w:jc w:val="center"/>
      </w:pPr>
      <w:r>
        <w:rPr>
          <w:rFonts w:ascii="微软雅黑" w:hAnsi="微软雅黑" w:eastAsia="微软雅黑" w:cs="微软雅黑"/>
          <w:b/>
          <w:sz w:val="44"/>
        </w:rPr>
        <w:t>港口集团智能审核项目待办事项工作排期</w:t>
      </w:r>
    </w:p>
    <w:p w14:paraId="24170495">
      <w:pPr>
        <w:spacing w:before="0" w:after="240"/>
        <w:ind w:firstLine="480" w:firstLineChars="200"/>
        <w:jc w:val="both"/>
      </w:pPr>
      <w:r>
        <w:rPr>
          <w:rFonts w:ascii="微软雅黑" w:hAnsi="微软雅黑" w:eastAsia="微软雅黑" w:cs="微软雅黑"/>
          <w:b w:val="0"/>
          <w:sz w:val="24"/>
        </w:rPr>
        <w:t>（2026年10月26日·修订版）</w:t>
      </w:r>
    </w:p>
    <w:p w14:paraId="0DC58175">
      <w:pPr>
        <w:spacing w:before="280" w:after="160"/>
      </w:pPr>
      <w:r>
        <w:rPr>
          <w:rFonts w:ascii="微软雅黑" w:hAnsi="微软雅黑" w:eastAsia="微软雅黑" w:cs="微软雅黑"/>
          <w:b/>
          <w:sz w:val="30"/>
        </w:rPr>
        <w:t>一、编制说明</w:t>
      </w:r>
    </w:p>
    <w:p w14:paraId="5A2D4B15">
      <w:pPr>
        <w:spacing w:before="0" w:after="120"/>
        <w:ind w:firstLine="480" w:firstLineChars="200"/>
        <w:jc w:val="both"/>
      </w:pPr>
      <w:r>
        <w:rPr>
          <w:rFonts w:ascii="微软雅黑" w:hAnsi="微软雅黑" w:eastAsia="微软雅黑" w:cs="微软雅黑"/>
          <w:b w:val="0"/>
          <w:sz w:val="24"/>
        </w:rPr>
        <w:t>本排期依据2026年10月26日演示交流后贵方整理的待办事项清单编制。清单共两类十一项：功能优化类八项（涉及审核工作台、规则库、界面与文案），部署实施类三项（服务器配置、本地部署、生产环境测试）。</w:t>
      </w:r>
    </w:p>
    <w:p w14:paraId="6D565DB7">
      <w:pPr>
        <w:spacing w:before="0" w:after="120"/>
        <w:ind w:firstLine="480" w:firstLineChars="200"/>
        <w:jc w:val="both"/>
      </w:pPr>
      <w:r>
        <w:rPr>
          <w:rFonts w:ascii="微软雅黑" w:hAnsi="微软雅黑" w:eastAsia="微软雅黑" w:cs="微软雅黑"/>
          <w:b w:val="0"/>
          <w:sz w:val="24"/>
        </w:rPr>
        <w:t>编制前，我方已对清单各项与现有系统实现逐项核对：其中账号角色体系、附件识别分类、规则来源条款、扫描件OCR等基础能力已具备，本期工作在现状基础上增量交付，避免重复建设。</w:t>
      </w:r>
    </w:p>
    <w:p w14:paraId="45B5278B">
      <w:pPr>
        <w:spacing w:before="0" w:after="120"/>
        <w:ind w:firstLine="480" w:firstLineChars="200"/>
        <w:jc w:val="both"/>
      </w:pPr>
      <w:r>
        <w:rPr>
          <w:rFonts w:ascii="微软雅黑" w:hAnsi="微软雅黑" w:eastAsia="微软雅黑" w:cs="微软雅黑"/>
          <w:b w:val="0"/>
          <w:sz w:val="24"/>
        </w:rPr>
        <w:t>根据贵方反馈，本版排期已作如下调整：一是总工期由五周压缩为四周（2026年10月26日至11月20日）；二是服务器配置单于两日内（10月28日前）先行提交；三是本地部署提前至下周（11月2日至6日）实施，制度文件、组织账号等数据在现场接收装载；四是界面优化两项前置至部署前完成，保证部署上线即为通俗易用的版本，降低贵方后续参与设计测试的操作门槛。文中责任分工为建议方案，可结合实际情况调整。</w:t>
      </w:r>
    </w:p>
    <w:p w14:paraId="1E203C3A">
      <w:pPr>
        <w:spacing w:before="280" w:after="160"/>
      </w:pPr>
      <w:r>
        <w:rPr>
          <w:rFonts w:ascii="微软雅黑" w:hAnsi="微软雅黑" w:eastAsia="微软雅黑" w:cs="微软雅黑"/>
          <w:b/>
          <w:sz w:val="30"/>
        </w:rPr>
        <w:t>二、待办事项与系统现状对照</w:t>
      </w:r>
    </w:p>
    <w:p w14:paraId="5150E89A">
      <w:pPr>
        <w:spacing w:before="0" w:after="120"/>
        <w:ind w:firstLine="480" w:firstLineChars="200"/>
        <w:jc w:val="both"/>
      </w:pPr>
      <w:r>
        <w:rPr>
          <w:rFonts w:ascii="微软雅黑" w:hAnsi="微软雅黑" w:eastAsia="微软雅黑" w:cs="微软雅黑"/>
          <w:b w:val="0"/>
          <w:sz w:val="24"/>
        </w:rPr>
        <w:t>下表为各项待办的系统现状与本期工作内容对照，作为排期依据。</w:t>
      </w:r>
    </w:p>
    <w:tbl>
      <w:tblPr>
        <w:tblStyle w:val="33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72" w:type="dxa"/>
          <w:bottom w:w="80" w:type="dxa"/>
          <w:right w:w="72" w:type="dxa"/>
        </w:tblCellMar>
      </w:tblPr>
      <w:tblGrid>
        <w:gridCol w:w="797"/>
        <w:gridCol w:w="2432"/>
        <w:gridCol w:w="2664"/>
        <w:gridCol w:w="3209"/>
      </w:tblGrid>
      <w:tr w14:paraId="47C976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shd w:val="clear" w:color="auto" w:fill="000000"/>
            <w:vAlign w:val="center"/>
          </w:tcPr>
          <w:p w14:paraId="034853F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w="2394" w:type="dxa"/>
            <w:shd w:val="clear" w:color="auto" w:fill="000000"/>
            <w:vAlign w:val="center"/>
          </w:tcPr>
          <w:p w14:paraId="748FD1C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待办事项</w:t>
            </w:r>
          </w:p>
        </w:tc>
        <w:tc>
          <w:tcPr>
            <w:tcW w:w="2622" w:type="dxa"/>
            <w:shd w:val="clear" w:color="auto" w:fill="000000"/>
            <w:vAlign w:val="center"/>
          </w:tcPr>
          <w:p w14:paraId="38901DF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系统现状</w:t>
            </w:r>
          </w:p>
        </w:tc>
        <w:tc>
          <w:tcPr>
            <w:tcW w:w="3159" w:type="dxa"/>
            <w:shd w:val="clear" w:color="auto" w:fill="000000"/>
            <w:vAlign w:val="center"/>
          </w:tcPr>
          <w:p w14:paraId="49A2F66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本期工作内容</w:t>
            </w:r>
          </w:p>
        </w:tc>
      </w:tr>
      <w:tr w14:paraId="03C338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759B87D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1</w:t>
            </w:r>
          </w:p>
        </w:tc>
        <w:tc>
          <w:tcPr>
            <w:tcW w:w="2394" w:type="dxa"/>
            <w:vAlign w:val="center"/>
          </w:tcPr>
          <w:p w14:paraId="1359DB7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个人工作台：按账号权限匹配待审工单；展示本账号历史审核数据</w:t>
            </w:r>
          </w:p>
        </w:tc>
        <w:tc>
          <w:tcPr>
            <w:tcW w:w="2622" w:type="dxa"/>
            <w:vAlign w:val="center"/>
          </w:tcPr>
          <w:p w14:paraId="7E9B6A5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已具备账号与角色体系（四类角色、真实登录会话），菜单按角色收敛；待审工单暂未按账号分配，无个人历史审核数据页面</w:t>
            </w:r>
          </w:p>
        </w:tc>
        <w:tc>
          <w:tcPr>
            <w:tcW w:w="3159" w:type="dxa"/>
            <w:vAlign w:val="center"/>
          </w:tcPr>
          <w:p w14:paraId="19B338D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建立工单与账号的分配关系；待审工单按账号权限匹配；新增个人工作台，汇总展示本账号待办与历史审核记录</w:t>
            </w:r>
          </w:p>
        </w:tc>
      </w:tr>
      <w:tr w14:paraId="3E0937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36D9594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2</w:t>
            </w:r>
          </w:p>
        </w:tc>
        <w:tc>
          <w:tcPr>
            <w:tcW w:w="2394" w:type="dxa"/>
            <w:vAlign w:val="center"/>
          </w:tcPr>
          <w:p w14:paraId="49266B6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审核规则异议标注：对AI审核不通过工单命中的规则逐条研判、标注并回流修改意见</w:t>
            </w:r>
          </w:p>
        </w:tc>
        <w:tc>
          <w:tcPr>
            <w:tcW w:w="2622" w:type="dxa"/>
            <w:vAlign w:val="center"/>
          </w:tcPr>
          <w:p w14:paraId="1B8CBDC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已支持逐条查看命中规则与制度依据、勾选“不认可”并回流至偏差统计；暂不支持逐条填写文字修改意见</w:t>
            </w:r>
          </w:p>
        </w:tc>
        <w:tc>
          <w:tcPr>
            <w:tcW w:w="3159" w:type="dxa"/>
            <w:vAlign w:val="center"/>
          </w:tcPr>
          <w:p w14:paraId="63D2335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命中与待人工结论的规则均支持逐条研判；支持标注异议并填写个人修改意见；意见回流至规则库侧汇总处理</w:t>
            </w:r>
          </w:p>
        </w:tc>
      </w:tr>
      <w:tr w14:paraId="38E4CB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0736EA1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3</w:t>
            </w:r>
          </w:p>
        </w:tc>
        <w:tc>
          <w:tcPr>
            <w:tcW w:w="2394" w:type="dxa"/>
            <w:vAlign w:val="center"/>
          </w:tcPr>
          <w:p w14:paraId="780A879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审核附件结果与分类：附件识别分类展示，识别结果可呈现、可修改</w:t>
            </w:r>
          </w:p>
        </w:tc>
        <w:tc>
          <w:tcPr>
            <w:tcW w:w="2622" w:type="dxa"/>
            <w:vAlign w:val="center"/>
          </w:tcPr>
          <w:p w14:paraId="1F1346B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工单附件已自动识别并分类展示（附判定依据与把握度）；识别结果暂为只读</w:t>
            </w:r>
          </w:p>
        </w:tc>
        <w:tc>
          <w:tcPr>
            <w:tcW w:w="3159" w:type="dxa"/>
            <w:vAlign w:val="center"/>
          </w:tcPr>
          <w:p w14:paraId="63CE98D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保留AI识别结果呈现；新增人工修改与补录（改附件类型、改识别字段），修改留痕，避免AI识别错误影响审核</w:t>
            </w:r>
          </w:p>
        </w:tc>
      </w:tr>
      <w:tr w14:paraId="684AA3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1CFF197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4</w:t>
            </w:r>
          </w:p>
        </w:tc>
        <w:tc>
          <w:tcPr>
            <w:tcW w:w="2394" w:type="dxa"/>
            <w:vAlign w:val="center"/>
          </w:tcPr>
          <w:p w14:paraId="51EC3C2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所有规则注明抽取来源，最好附带切片</w:t>
            </w:r>
          </w:p>
        </w:tc>
        <w:tc>
          <w:tcPr>
            <w:tcW w:w="2622" w:type="dxa"/>
            <w:vAlign w:val="center"/>
          </w:tcPr>
          <w:p w14:paraId="764D756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规则已带来源条款（来源文件、条款号、条款原文、来源可信度），在规则详情与审核报告中展示；存量部分规则的来源停留在规则清单层</w:t>
            </w:r>
          </w:p>
        </w:tc>
        <w:tc>
          <w:tcPr>
            <w:tcW w:w="3159" w:type="dxa"/>
            <w:vAlign w:val="center"/>
          </w:tcPr>
          <w:p w14:paraId="57A3914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全部规则的来源细化到具体制度文件与条款切片；规则详情一键查看原文出处</w:t>
            </w:r>
          </w:p>
        </w:tc>
      </w:tr>
      <w:tr w14:paraId="6C03E6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168C211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5</w:t>
            </w:r>
          </w:p>
        </w:tc>
        <w:tc>
          <w:tcPr>
            <w:tcW w:w="2394" w:type="dxa"/>
            <w:vAlign w:val="center"/>
          </w:tcPr>
          <w:p w14:paraId="635982A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图像类型的规则文档抽取识别能力</w:t>
            </w:r>
          </w:p>
        </w:tc>
        <w:tc>
          <w:tcPr>
            <w:tcW w:w="2622" w:type="dxa"/>
            <w:vAlign w:val="center"/>
          </w:tcPr>
          <w:p w14:paraId="4419375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扫描版PDF已支持OCR识别（本机OCR与视觉大模型双链路）；JPG、PNG等图片文件暂不在上传范围</w:t>
            </w:r>
          </w:p>
        </w:tc>
        <w:tc>
          <w:tcPr>
            <w:tcW w:w="3159" w:type="dxa"/>
            <w:vAlign w:val="center"/>
          </w:tcPr>
          <w:p w14:paraId="6C5AEF9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图片文件纳入制度文件上传与抽取链路，识别后进入条款切分与规则生成</w:t>
            </w:r>
          </w:p>
        </w:tc>
      </w:tr>
      <w:tr w14:paraId="3CD4A6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203C45D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6</w:t>
            </w:r>
          </w:p>
        </w:tc>
        <w:tc>
          <w:tcPr>
            <w:tcW w:w="2394" w:type="dxa"/>
            <w:vAlign w:val="center"/>
          </w:tcPr>
          <w:p w14:paraId="3254F32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对话式生成规则</w:t>
            </w:r>
          </w:p>
        </w:tc>
        <w:tc>
          <w:tcPr>
            <w:tcW w:w="2622" w:type="dxa"/>
            <w:vAlign w:val="center"/>
          </w:tcPr>
          <w:p w14:paraId="71A3E28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暂无对话式入口；现有规则生成为“文档上传→条款切分→AI草稿→专家审定”流水线</w:t>
            </w:r>
          </w:p>
        </w:tc>
        <w:tc>
          <w:tcPr>
            <w:tcW w:w="3159" w:type="dxa"/>
            <w:vAlign w:val="center"/>
          </w:tcPr>
          <w:p w14:paraId="3EF2D0B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新增对话式规则生成：对话描述业务要求，AI生成规则草稿，沿用专家审定后入库发布</w:t>
            </w:r>
          </w:p>
        </w:tc>
      </w:tr>
      <w:tr w14:paraId="7719E5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774E071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7</w:t>
            </w:r>
          </w:p>
        </w:tc>
        <w:tc>
          <w:tcPr>
            <w:tcW w:w="2394" w:type="dxa"/>
            <w:vAlign w:val="center"/>
          </w:tcPr>
          <w:p w14:paraId="2BC2ECA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把所有描述替换成通用易懂用语</w:t>
            </w:r>
          </w:p>
        </w:tc>
        <w:tc>
          <w:tcPr>
            <w:tcW w:w="2622" w:type="dxa"/>
            <w:vAlign w:val="center"/>
          </w:tcPr>
          <w:p w14:paraId="02BCEC9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审核端页面已采用业务用语；知识资产与系统侧页面仍有技术术语（本体、智能体、契约等）</w:t>
            </w:r>
          </w:p>
        </w:tc>
        <w:tc>
          <w:tcPr>
            <w:tcW w:w="3159" w:type="dxa"/>
            <w:vAlign w:val="center"/>
          </w:tcPr>
          <w:p w14:paraId="6DF3560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全站页面文案逐页梳理，统一替换为通用易懂的业务用语，技术细节收纳到说明或详情层</w:t>
            </w:r>
          </w:p>
        </w:tc>
      </w:tr>
      <w:tr w14:paraId="4EE10E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6DEEB52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8</w:t>
            </w:r>
          </w:p>
        </w:tc>
        <w:tc>
          <w:tcPr>
            <w:tcW w:w="2394" w:type="dxa"/>
            <w:vAlign w:val="center"/>
          </w:tcPr>
          <w:p w14:paraId="0B2F630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功能整合：制度库与规则抽取合并，上传后直接同步抽取；审核工作台同级模块并入子模块</w:t>
            </w:r>
          </w:p>
        </w:tc>
        <w:tc>
          <w:tcPr>
            <w:tcW w:w="2622" w:type="dxa"/>
            <w:vAlign w:val="center"/>
          </w:tcPr>
          <w:p w14:paraId="0EDA2D5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制度文件库与规则抽取为两个页面，需先上传再到另一页面抽取；审核工作台同级模块较多</w:t>
            </w:r>
          </w:p>
        </w:tc>
        <w:tc>
          <w:tcPr>
            <w:tcW w:w="3159" w:type="dxa"/>
            <w:vAlign w:val="center"/>
          </w:tcPr>
          <w:p w14:paraId="5590AE4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制度文件上传后自动进入抽取（上传即抽取）；审核工作台同级模块收敛为子模块，页面动线整体重排</w:t>
            </w:r>
          </w:p>
        </w:tc>
      </w:tr>
      <w:tr w14:paraId="18267C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49D5D72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9</w:t>
            </w:r>
          </w:p>
        </w:tc>
        <w:tc>
          <w:tcPr>
            <w:tcW w:w="2394" w:type="dxa"/>
            <w:vAlign w:val="center"/>
          </w:tcPr>
          <w:p w14:paraId="51672D7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服务器配置提供：根据范围评估提供应用服务器需求配置单（财智公司与十个二级单位）</w:t>
            </w:r>
          </w:p>
        </w:tc>
        <w:tc>
          <w:tcPr>
            <w:tcW w:w="2622" w:type="dxa"/>
            <w:vAlign w:val="center"/>
          </w:tcPr>
          <w:p w14:paraId="2CF4D9D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已具备容器化部署包（数据库、应用、前端三容器，无GPU依赖）</w:t>
            </w:r>
          </w:p>
        </w:tc>
        <w:tc>
          <w:tcPr>
            <w:tcW w:w="3159" w:type="dxa"/>
            <w:vAlign w:val="center"/>
          </w:tcPr>
          <w:p w14:paraId="24EA44B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两日内先行提交初版配置单（按典型规模估算）；待贵方确认规模数据后当日更新终版</w:t>
            </w:r>
          </w:p>
        </w:tc>
      </w:tr>
      <w:tr w14:paraId="6C3507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7CA6E3E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10</w:t>
            </w:r>
          </w:p>
        </w:tc>
        <w:tc>
          <w:tcPr>
            <w:tcW w:w="2394" w:type="dxa"/>
            <w:vAlign w:val="center"/>
          </w:tcPr>
          <w:p w14:paraId="1A12A44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本地部署</w:t>
            </w:r>
          </w:p>
        </w:tc>
        <w:tc>
          <w:tcPr>
            <w:tcW w:w="2622" w:type="dxa"/>
            <w:vAlign w:val="center"/>
          </w:tcPr>
          <w:p w14:paraId="00DF6BD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已在部门服务器完成演示环境部署，部署链路成熟</w:t>
            </w:r>
          </w:p>
        </w:tc>
        <w:tc>
          <w:tcPr>
            <w:tcW w:w="3159" w:type="dxa"/>
            <w:vAlign w:val="center"/>
          </w:tcPr>
          <w:p w14:paraId="3152BDB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下周赴现场完成环境安装部署；制度文件、组织账号等数据现场接收并装载联调</w:t>
            </w:r>
          </w:p>
        </w:tc>
      </w:tr>
      <w:tr w14:paraId="6FE191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2CA7B36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11</w:t>
            </w:r>
          </w:p>
        </w:tc>
        <w:tc>
          <w:tcPr>
            <w:tcW w:w="2394" w:type="dxa"/>
            <w:vAlign w:val="center"/>
          </w:tcPr>
          <w:p w14:paraId="652DF01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生产环境测试</w:t>
            </w:r>
          </w:p>
        </w:tc>
        <w:tc>
          <w:tcPr>
            <w:tcW w:w="2622" w:type="dxa"/>
            <w:vAlign w:val="center"/>
          </w:tcPr>
          <w:p w14:paraId="2E2B2C3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暂未开展</w:t>
            </w:r>
          </w:p>
        </w:tc>
        <w:tc>
          <w:tcPr>
            <w:tcW w:w="3159" w:type="dxa"/>
            <w:vAlign w:val="center"/>
          </w:tcPr>
          <w:p w14:paraId="7CF8130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部署后组织全流程功能测试与贵方联合设计测试，含性能摸底、问题修复与测试报告；提供操作手册与培训</w:t>
            </w:r>
          </w:p>
        </w:tc>
      </w:tr>
    </w:tbl>
    <w:p w14:paraId="76BE7601">
      <w:pPr>
        <w:spacing w:before="0" w:after="40"/>
      </w:pPr>
    </w:p>
    <w:p w14:paraId="6E6F18B7">
      <w:pPr>
        <w:spacing w:before="280" w:after="160"/>
      </w:pPr>
      <w:r>
        <w:rPr>
          <w:rFonts w:ascii="微软雅黑" w:hAnsi="微软雅黑" w:eastAsia="微软雅黑" w:cs="微软雅黑"/>
          <w:b/>
          <w:sz w:val="30"/>
        </w:rPr>
        <w:t>三、工作排期</w:t>
      </w:r>
    </w:p>
    <w:tbl>
      <w:tblPr>
        <w:tblStyle w:val="33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72" w:type="dxa"/>
          <w:bottom w:w="80" w:type="dxa"/>
          <w:right w:w="72" w:type="dxa"/>
        </w:tblCellMar>
      </w:tblPr>
      <w:tblGrid>
        <w:gridCol w:w="797"/>
        <w:gridCol w:w="1590"/>
        <w:gridCol w:w="2372"/>
        <w:gridCol w:w="1566"/>
        <w:gridCol w:w="1981"/>
        <w:gridCol w:w="797"/>
      </w:tblGrid>
      <w:tr w14:paraId="6A57BF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shd w:val="clear" w:color="auto" w:fill="000000"/>
            <w:vAlign w:val="center"/>
          </w:tcPr>
          <w:p w14:paraId="5046C22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w="1565" w:type="dxa"/>
            <w:shd w:val="clear" w:color="auto" w:fill="000000"/>
            <w:vAlign w:val="center"/>
          </w:tcPr>
          <w:p w14:paraId="3490D1A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工作项</w:t>
            </w:r>
          </w:p>
        </w:tc>
        <w:tc>
          <w:tcPr>
            <w:tcW w:w="2334" w:type="dxa"/>
            <w:shd w:val="clear" w:color="auto" w:fill="000000"/>
            <w:vAlign w:val="center"/>
          </w:tcPr>
          <w:p w14:paraId="397FB2E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主要工作</w:t>
            </w:r>
          </w:p>
        </w:tc>
        <w:tc>
          <w:tcPr>
            <w:tcW w:w="1541" w:type="dxa"/>
            <w:shd w:val="clear" w:color="auto" w:fill="000000"/>
            <w:vAlign w:val="center"/>
          </w:tcPr>
          <w:p w14:paraId="20204CD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责任方</w:t>
            </w:r>
          </w:p>
        </w:tc>
        <w:tc>
          <w:tcPr>
            <w:tcW w:w="1950" w:type="dxa"/>
            <w:shd w:val="clear" w:color="auto" w:fill="000000"/>
            <w:vAlign w:val="center"/>
          </w:tcPr>
          <w:p w14:paraId="4B8226E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计划时间</w:t>
            </w:r>
          </w:p>
        </w:tc>
        <w:tc>
          <w:tcPr>
            <w:tcW w:w="784" w:type="dxa"/>
            <w:shd w:val="clear" w:color="auto" w:fill="000000"/>
            <w:vAlign w:val="center"/>
          </w:tcPr>
          <w:p w14:paraId="477E57F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节点</w:t>
            </w:r>
          </w:p>
        </w:tc>
      </w:tr>
      <w:tr w14:paraId="47E787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0E4FF5A4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  <w:lang w:val="en-US" w:eastAsia="zh-CN"/>
              </w:rPr>
              <w:t>1</w:t>
            </w:r>
          </w:p>
        </w:tc>
        <w:tc>
          <w:tcPr>
            <w:tcW w:w="1565" w:type="dxa"/>
            <w:vAlign w:val="center"/>
          </w:tcPr>
          <w:p w14:paraId="5306A8F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服务器配置单</w:t>
            </w:r>
          </w:p>
        </w:tc>
        <w:tc>
          <w:tcPr>
            <w:tcW w:w="2334" w:type="dxa"/>
            <w:vAlign w:val="center"/>
          </w:tcPr>
          <w:p w14:paraId="0E6858A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按财智公司及十个二级单位评估容量与并发，出具配置需求单（两日内初版先行）</w:t>
            </w:r>
          </w:p>
        </w:tc>
        <w:tc>
          <w:tcPr>
            <w:tcW w:w="1541" w:type="dxa"/>
            <w:vAlign w:val="center"/>
          </w:tcPr>
          <w:p w14:paraId="10E68F9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李波、何毅</w:t>
            </w:r>
          </w:p>
        </w:tc>
        <w:tc>
          <w:tcPr>
            <w:tcW w:w="1950" w:type="dxa"/>
            <w:vAlign w:val="center"/>
          </w:tcPr>
          <w:p w14:paraId="45B48D1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10月26日—10月28日</w:t>
            </w:r>
          </w:p>
        </w:tc>
        <w:tc>
          <w:tcPr>
            <w:tcW w:w="784" w:type="dxa"/>
            <w:vAlign w:val="center"/>
          </w:tcPr>
          <w:p w14:paraId="75F8E6A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M1</w:t>
            </w:r>
          </w:p>
        </w:tc>
      </w:tr>
      <w:tr w14:paraId="70A688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200AA112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  <w:lang w:val="en-US" w:eastAsia="zh-CN"/>
              </w:rPr>
              <w:t>2</w:t>
            </w:r>
          </w:p>
        </w:tc>
        <w:tc>
          <w:tcPr>
            <w:tcW w:w="1565" w:type="dxa"/>
            <w:vAlign w:val="center"/>
          </w:tcPr>
          <w:p w14:paraId="34829D8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界面文案通俗化</w:t>
            </w:r>
          </w:p>
        </w:tc>
        <w:tc>
          <w:tcPr>
            <w:tcW w:w="2334" w:type="dxa"/>
            <w:vAlign w:val="center"/>
          </w:tcPr>
          <w:p w14:paraId="3C2D0A4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全站页面文案梳理与替换，技术术语白话化</w:t>
            </w:r>
          </w:p>
        </w:tc>
        <w:tc>
          <w:tcPr>
            <w:tcW w:w="1541" w:type="dxa"/>
            <w:vAlign w:val="center"/>
          </w:tcPr>
          <w:p w14:paraId="3C9BB70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周柳航</w:t>
            </w:r>
          </w:p>
        </w:tc>
        <w:tc>
          <w:tcPr>
            <w:tcW w:w="1950" w:type="dxa"/>
            <w:vAlign w:val="center"/>
          </w:tcPr>
          <w:p w14:paraId="5C1D6A8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10月26日—10月29日</w:t>
            </w:r>
          </w:p>
        </w:tc>
        <w:tc>
          <w:tcPr>
            <w:tcW w:w="784" w:type="dxa"/>
            <w:vAlign w:val="center"/>
          </w:tcPr>
          <w:p w14:paraId="414032C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M2</w:t>
            </w:r>
          </w:p>
        </w:tc>
      </w:tr>
      <w:tr w14:paraId="393030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77CC2845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  <w:lang w:val="en-US" w:eastAsia="zh-CN"/>
              </w:rPr>
              <w:t>3</w:t>
            </w:r>
          </w:p>
        </w:tc>
        <w:tc>
          <w:tcPr>
            <w:tcW w:w="1565" w:type="dxa"/>
            <w:vAlign w:val="center"/>
          </w:tcPr>
          <w:p w14:paraId="156A992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个人工作台与权限工单</w:t>
            </w:r>
          </w:p>
        </w:tc>
        <w:tc>
          <w:tcPr>
            <w:tcW w:w="2334" w:type="dxa"/>
            <w:vAlign w:val="center"/>
          </w:tcPr>
          <w:p w14:paraId="6AD3BBF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工单分配关系与按账号过滤接口（后端先行）；个人工作台页面（待办+历史审核数据）</w:t>
            </w:r>
          </w:p>
        </w:tc>
        <w:tc>
          <w:tcPr>
            <w:tcW w:w="1541" w:type="dxa"/>
            <w:vAlign w:val="center"/>
          </w:tcPr>
          <w:p w14:paraId="095A459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何毅、周柳航</w:t>
            </w:r>
          </w:p>
        </w:tc>
        <w:tc>
          <w:tcPr>
            <w:tcW w:w="1950" w:type="dxa"/>
            <w:vAlign w:val="center"/>
          </w:tcPr>
          <w:p w14:paraId="62193CE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10月26日—11月10日</w:t>
            </w:r>
          </w:p>
        </w:tc>
        <w:tc>
          <w:tcPr>
            <w:tcW w:w="784" w:type="dxa"/>
            <w:vAlign w:val="center"/>
          </w:tcPr>
          <w:p w14:paraId="20E9963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M4</w:t>
            </w:r>
          </w:p>
        </w:tc>
      </w:tr>
      <w:tr w14:paraId="3B5417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689792C6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  <w:lang w:val="en-US" w:eastAsia="zh-CN"/>
              </w:rPr>
              <w:t>4</w:t>
            </w:r>
          </w:p>
        </w:tc>
        <w:tc>
          <w:tcPr>
            <w:tcW w:w="1565" w:type="dxa"/>
            <w:vAlign w:val="center"/>
          </w:tcPr>
          <w:p w14:paraId="3A91FB0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审核规则异议标注</w:t>
            </w:r>
          </w:p>
        </w:tc>
        <w:tc>
          <w:tcPr>
            <w:tcW w:w="2334" w:type="dxa"/>
            <w:vAlign w:val="center"/>
          </w:tcPr>
          <w:p w14:paraId="167FDC4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逐条研判覆盖待人工结论；异议标注与修改意见落库；规则侧异议汇总</w:t>
            </w:r>
          </w:p>
        </w:tc>
        <w:tc>
          <w:tcPr>
            <w:tcW w:w="1541" w:type="dxa"/>
            <w:vAlign w:val="center"/>
          </w:tcPr>
          <w:p w14:paraId="7C823AE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何毅、周柳航</w:t>
            </w:r>
          </w:p>
        </w:tc>
        <w:tc>
          <w:tcPr>
            <w:tcW w:w="1950" w:type="dxa"/>
            <w:vAlign w:val="center"/>
          </w:tcPr>
          <w:p w14:paraId="185FA60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10月27日—11月11日</w:t>
            </w:r>
          </w:p>
        </w:tc>
        <w:tc>
          <w:tcPr>
            <w:tcW w:w="784" w:type="dxa"/>
            <w:vAlign w:val="center"/>
          </w:tcPr>
          <w:p w14:paraId="3A38FAC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M4</w:t>
            </w:r>
          </w:p>
        </w:tc>
      </w:tr>
      <w:tr w14:paraId="621B7C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633F9DBD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  <w:lang w:val="en-US" w:eastAsia="zh-CN"/>
              </w:rPr>
              <w:t>5</w:t>
            </w:r>
          </w:p>
        </w:tc>
        <w:tc>
          <w:tcPr>
            <w:tcW w:w="1565" w:type="dxa"/>
            <w:vAlign w:val="center"/>
          </w:tcPr>
          <w:p w14:paraId="4D93E37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附件识别结果可修改</w:t>
            </w:r>
          </w:p>
        </w:tc>
        <w:tc>
          <w:tcPr>
            <w:tcW w:w="2334" w:type="dxa"/>
            <w:vAlign w:val="center"/>
          </w:tcPr>
          <w:p w14:paraId="3C11E58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人工改判与补录接口及界面，修改留痕</w:t>
            </w:r>
          </w:p>
        </w:tc>
        <w:tc>
          <w:tcPr>
            <w:tcW w:w="1541" w:type="dxa"/>
            <w:vAlign w:val="center"/>
          </w:tcPr>
          <w:p w14:paraId="2AEDD9B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何毅、周柳航</w:t>
            </w:r>
          </w:p>
        </w:tc>
        <w:tc>
          <w:tcPr>
            <w:tcW w:w="1950" w:type="dxa"/>
            <w:vAlign w:val="center"/>
          </w:tcPr>
          <w:p w14:paraId="5377C32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10月28日—11月12日</w:t>
            </w:r>
          </w:p>
        </w:tc>
        <w:tc>
          <w:tcPr>
            <w:tcW w:w="784" w:type="dxa"/>
            <w:vAlign w:val="center"/>
          </w:tcPr>
          <w:p w14:paraId="013AD49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M4</w:t>
            </w:r>
          </w:p>
        </w:tc>
      </w:tr>
      <w:tr w14:paraId="0A8AA8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302D34D7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  <w:lang w:val="en-US" w:eastAsia="zh-CN"/>
              </w:rPr>
              <w:t>6</w:t>
            </w:r>
          </w:p>
        </w:tc>
        <w:tc>
          <w:tcPr>
            <w:tcW w:w="1565" w:type="dxa"/>
            <w:vAlign w:val="center"/>
          </w:tcPr>
          <w:p w14:paraId="316691A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规则来源与切片完善</w:t>
            </w:r>
          </w:p>
        </w:tc>
        <w:tc>
          <w:tcPr>
            <w:tcW w:w="2334" w:type="dxa"/>
            <w:vAlign w:val="center"/>
          </w:tcPr>
          <w:p w14:paraId="418E759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存量规则来源细化到制度文件与条款切片；详情页查看原文出处</w:t>
            </w:r>
          </w:p>
        </w:tc>
        <w:tc>
          <w:tcPr>
            <w:tcW w:w="1541" w:type="dxa"/>
            <w:vAlign w:val="center"/>
          </w:tcPr>
          <w:p w14:paraId="0B5398F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何毅</w:t>
            </w:r>
          </w:p>
        </w:tc>
        <w:tc>
          <w:tcPr>
            <w:tcW w:w="1950" w:type="dxa"/>
            <w:vAlign w:val="center"/>
          </w:tcPr>
          <w:p w14:paraId="38E7F51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10月27日—11月4日</w:t>
            </w:r>
          </w:p>
        </w:tc>
        <w:tc>
          <w:tcPr>
            <w:tcW w:w="784" w:type="dxa"/>
            <w:vAlign w:val="center"/>
          </w:tcPr>
          <w:p w14:paraId="69B2F5A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M3</w:t>
            </w:r>
          </w:p>
        </w:tc>
      </w:tr>
      <w:tr w14:paraId="341B5B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7325B3BE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  <w:lang w:val="en-US" w:eastAsia="zh-CN"/>
              </w:rPr>
              <w:t>7</w:t>
            </w:r>
          </w:p>
        </w:tc>
        <w:tc>
          <w:tcPr>
            <w:tcW w:w="1565" w:type="dxa"/>
            <w:vAlign w:val="center"/>
          </w:tcPr>
          <w:p w14:paraId="7788DBC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页面功能整合</w:t>
            </w:r>
          </w:p>
        </w:tc>
        <w:tc>
          <w:tcPr>
            <w:tcW w:w="2334" w:type="dxa"/>
            <w:vAlign w:val="center"/>
          </w:tcPr>
          <w:p w14:paraId="681AB96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上传即抽取动线合并（后端联动）；审核模块收敛为子模块；整体回归测试</w:t>
            </w:r>
          </w:p>
        </w:tc>
        <w:tc>
          <w:tcPr>
            <w:tcW w:w="1541" w:type="dxa"/>
            <w:vAlign w:val="center"/>
          </w:tcPr>
          <w:p w14:paraId="1BA5D54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周柳航、何毅</w:t>
            </w:r>
          </w:p>
        </w:tc>
        <w:tc>
          <w:tcPr>
            <w:tcW w:w="1950" w:type="dxa"/>
            <w:vAlign w:val="center"/>
          </w:tcPr>
          <w:p w14:paraId="129CDF2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10月30日—11月5日</w:t>
            </w:r>
          </w:p>
        </w:tc>
        <w:tc>
          <w:tcPr>
            <w:tcW w:w="784" w:type="dxa"/>
            <w:vAlign w:val="center"/>
          </w:tcPr>
          <w:p w14:paraId="104C667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M2</w:t>
            </w:r>
          </w:p>
        </w:tc>
      </w:tr>
      <w:tr w14:paraId="38260E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079EBF1A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  <w:lang w:val="en-US" w:eastAsia="zh-CN"/>
              </w:rPr>
              <w:t>8</w:t>
            </w:r>
          </w:p>
        </w:tc>
        <w:tc>
          <w:tcPr>
            <w:tcW w:w="1565" w:type="dxa"/>
            <w:vAlign w:val="center"/>
          </w:tcPr>
          <w:p w14:paraId="46A26EB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图像类型文档抽取</w:t>
            </w:r>
          </w:p>
        </w:tc>
        <w:tc>
          <w:tcPr>
            <w:tcW w:w="2334" w:type="dxa"/>
            <w:vAlign w:val="center"/>
          </w:tcPr>
          <w:p w14:paraId="41F1012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JPG、PNG等图片纳入上传、识别与抽取链路</w:t>
            </w:r>
          </w:p>
        </w:tc>
        <w:tc>
          <w:tcPr>
            <w:tcW w:w="1541" w:type="dxa"/>
            <w:vAlign w:val="center"/>
          </w:tcPr>
          <w:p w14:paraId="0EE1D19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何毅</w:t>
            </w:r>
          </w:p>
        </w:tc>
        <w:tc>
          <w:tcPr>
            <w:tcW w:w="1950" w:type="dxa"/>
            <w:vAlign w:val="center"/>
          </w:tcPr>
          <w:p w14:paraId="0CFCF35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11月2日—11月6日</w:t>
            </w:r>
          </w:p>
        </w:tc>
        <w:tc>
          <w:tcPr>
            <w:tcW w:w="784" w:type="dxa"/>
            <w:vAlign w:val="center"/>
          </w:tcPr>
          <w:p w14:paraId="47163A3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M3</w:t>
            </w:r>
          </w:p>
        </w:tc>
      </w:tr>
      <w:tr w14:paraId="1B7F5F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147E45B1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  <w:lang w:val="en-US" w:eastAsia="zh-CN"/>
              </w:rPr>
              <w:t>9</w:t>
            </w:r>
          </w:p>
        </w:tc>
        <w:tc>
          <w:tcPr>
            <w:tcW w:w="1565" w:type="dxa"/>
            <w:vAlign w:val="center"/>
          </w:tcPr>
          <w:p w14:paraId="2803A0C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本地部署</w:t>
            </w:r>
          </w:p>
        </w:tc>
        <w:tc>
          <w:tcPr>
            <w:tcW w:w="2334" w:type="dxa"/>
            <w:vAlign w:val="center"/>
          </w:tcPr>
          <w:p w14:paraId="41B1FF2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现场环境安装部署、数据接收装载与联调；11月6日更新整合后版本上线</w:t>
            </w:r>
          </w:p>
        </w:tc>
        <w:tc>
          <w:tcPr>
            <w:tcW w:w="1541" w:type="dxa"/>
            <w:vAlign w:val="center"/>
          </w:tcPr>
          <w:p w14:paraId="6E5DE13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李波</w:t>
            </w:r>
          </w:p>
        </w:tc>
        <w:tc>
          <w:tcPr>
            <w:tcW w:w="1950" w:type="dxa"/>
            <w:vAlign w:val="center"/>
          </w:tcPr>
          <w:p w14:paraId="59E8041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11月2日—11</w:t>
            </w:r>
            <w:bookmarkStart w:id="0" w:name="_GoBack"/>
            <w:bookmarkEnd w:id="0"/>
            <w:r>
              <w:rPr>
                <w:rFonts w:ascii="微软雅黑" w:hAnsi="微软雅黑" w:eastAsia="微软雅黑" w:cs="微软雅黑"/>
                <w:b w:val="0"/>
                <w:sz w:val="19"/>
              </w:rPr>
              <w:t>月6日</w:t>
            </w:r>
          </w:p>
        </w:tc>
        <w:tc>
          <w:tcPr>
            <w:tcW w:w="784" w:type="dxa"/>
            <w:vAlign w:val="center"/>
          </w:tcPr>
          <w:p w14:paraId="25A3D7E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M3</w:t>
            </w:r>
          </w:p>
        </w:tc>
      </w:tr>
      <w:tr w14:paraId="5713CB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6EDA0EB3">
            <w:pPr>
              <w:spacing w:before="0"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  <w:lang w:val="en-US" w:eastAsia="zh-CN"/>
              </w:rPr>
              <w:t>10</w:t>
            </w:r>
          </w:p>
        </w:tc>
        <w:tc>
          <w:tcPr>
            <w:tcW w:w="1565" w:type="dxa"/>
            <w:vAlign w:val="center"/>
          </w:tcPr>
          <w:p w14:paraId="30FEB97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对话式生成规则</w:t>
            </w:r>
          </w:p>
        </w:tc>
        <w:tc>
          <w:tcPr>
            <w:tcW w:w="2334" w:type="dxa"/>
            <w:vAlign w:val="center"/>
          </w:tcPr>
          <w:p w14:paraId="3BD9D18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对话界面与会话上下文；对话生成规则草稿，进入专家审定与发布链</w:t>
            </w:r>
          </w:p>
        </w:tc>
        <w:tc>
          <w:tcPr>
            <w:tcW w:w="1541" w:type="dxa"/>
            <w:vAlign w:val="center"/>
          </w:tcPr>
          <w:p w14:paraId="1D5FBF7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何毅、周柳航</w:t>
            </w:r>
          </w:p>
        </w:tc>
        <w:tc>
          <w:tcPr>
            <w:tcW w:w="1950" w:type="dxa"/>
            <w:vAlign w:val="center"/>
          </w:tcPr>
          <w:p w14:paraId="38C5468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11月2日—11月13日</w:t>
            </w:r>
          </w:p>
        </w:tc>
        <w:tc>
          <w:tcPr>
            <w:tcW w:w="784" w:type="dxa"/>
            <w:vAlign w:val="center"/>
          </w:tcPr>
          <w:p w14:paraId="5563F3C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M4</w:t>
            </w:r>
          </w:p>
        </w:tc>
      </w:tr>
      <w:tr w14:paraId="78215C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689B88F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11</w:t>
            </w:r>
          </w:p>
        </w:tc>
        <w:tc>
          <w:tcPr>
            <w:tcW w:w="1565" w:type="dxa"/>
            <w:vAlign w:val="center"/>
          </w:tcPr>
          <w:p w14:paraId="355D86D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生产环境测试</w:t>
            </w:r>
          </w:p>
        </w:tc>
        <w:tc>
          <w:tcPr>
            <w:tcW w:w="2334" w:type="dxa"/>
            <w:vAlign w:val="center"/>
          </w:tcPr>
          <w:p w14:paraId="0512F58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全流程功能测试、贵方联合设计测试、性能摸底、问题修复与测试报告；操作手册与培训</w:t>
            </w:r>
          </w:p>
        </w:tc>
        <w:tc>
          <w:tcPr>
            <w:tcW w:w="1541" w:type="dxa"/>
            <w:vAlign w:val="center"/>
          </w:tcPr>
          <w:p w14:paraId="5866B47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李波牵头、全员参与</w:t>
            </w:r>
          </w:p>
        </w:tc>
        <w:tc>
          <w:tcPr>
            <w:tcW w:w="1950" w:type="dxa"/>
            <w:vAlign w:val="center"/>
          </w:tcPr>
          <w:p w14:paraId="447418A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11月9日—11月20日</w:t>
            </w:r>
          </w:p>
        </w:tc>
        <w:tc>
          <w:tcPr>
            <w:tcW w:w="784" w:type="dxa"/>
            <w:vAlign w:val="center"/>
          </w:tcPr>
          <w:p w14:paraId="6680E2D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M5</w:t>
            </w:r>
          </w:p>
        </w:tc>
      </w:tr>
    </w:tbl>
    <w:p w14:paraId="0A2FB237">
      <w:pPr>
        <w:spacing w:before="0" w:after="120"/>
        <w:ind w:firstLine="420" w:firstLineChars="200"/>
        <w:jc w:val="both"/>
      </w:pPr>
      <w:r>
        <w:rPr>
          <w:rFonts w:ascii="微软雅黑" w:hAnsi="微软雅黑" w:eastAsia="微软雅黑" w:cs="微软雅黑"/>
          <w:b w:val="0"/>
          <w:sz w:val="21"/>
        </w:rPr>
        <w:t>注：已按贵方意见调整工作顺序——界面优化两项（第7、8项）前置至部署前完成，部署时上线即为优化后版本；功能优化各项维持原节奏，界面优化让位期间的工作顺延数日，总节点不晚于11月13日。</w:t>
      </w:r>
    </w:p>
    <w:p w14:paraId="652E2C39">
      <w:pPr>
        <w:spacing w:before="280" w:after="160"/>
      </w:pPr>
      <w:r>
        <w:rPr>
          <w:rFonts w:ascii="微软雅黑" w:hAnsi="微软雅黑" w:eastAsia="微软雅黑" w:cs="微软雅黑"/>
          <w:b/>
          <w:sz w:val="30"/>
        </w:rPr>
        <w:t>四、里程碑计划</w:t>
      </w:r>
    </w:p>
    <w:tbl>
      <w:tblPr>
        <w:tblStyle w:val="33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72" w:type="dxa"/>
          <w:bottom w:w="80" w:type="dxa"/>
          <w:right w:w="72" w:type="dxa"/>
        </w:tblCellMar>
      </w:tblPr>
      <w:tblGrid>
        <w:gridCol w:w="797"/>
        <w:gridCol w:w="1801"/>
        <w:gridCol w:w="6504"/>
      </w:tblGrid>
      <w:tr w14:paraId="4C9ABB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97" w:type="dxa"/>
            <w:shd w:val="clear" w:color="auto" w:fill="000000"/>
            <w:vAlign w:val="center"/>
          </w:tcPr>
          <w:p w14:paraId="4804BD3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节点</w:t>
            </w:r>
          </w:p>
        </w:tc>
        <w:tc>
          <w:tcPr>
            <w:tcW w:w="1801" w:type="dxa"/>
            <w:shd w:val="clear" w:color="auto" w:fill="000000"/>
            <w:vAlign w:val="center"/>
          </w:tcPr>
          <w:p w14:paraId="6F3AAD2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w="6505" w:type="dxa"/>
            <w:shd w:val="clear" w:color="auto" w:fill="000000"/>
            <w:vAlign w:val="center"/>
          </w:tcPr>
          <w:p w14:paraId="70741EE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阶段成果</w:t>
            </w:r>
          </w:p>
        </w:tc>
      </w:tr>
      <w:tr w14:paraId="107772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97" w:type="dxa"/>
            <w:vAlign w:val="center"/>
          </w:tcPr>
          <w:p w14:paraId="3AEF4C9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M1</w:t>
            </w:r>
          </w:p>
        </w:tc>
        <w:tc>
          <w:tcPr>
            <w:tcW w:w="1801" w:type="dxa"/>
            <w:vAlign w:val="center"/>
          </w:tcPr>
          <w:p w14:paraId="226268B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10月28日</w:t>
            </w:r>
          </w:p>
        </w:tc>
        <w:tc>
          <w:tcPr>
            <w:tcW w:w="6505" w:type="dxa"/>
            <w:vAlign w:val="center"/>
          </w:tcPr>
          <w:p w14:paraId="60662A1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服务器配置单初版提交贵方（两日内）；界面文案通俗化同步推进</w:t>
            </w:r>
          </w:p>
        </w:tc>
      </w:tr>
      <w:tr w14:paraId="05ECCB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97" w:type="dxa"/>
            <w:vAlign w:val="center"/>
          </w:tcPr>
          <w:p w14:paraId="5FB86CC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M2</w:t>
            </w:r>
          </w:p>
        </w:tc>
        <w:tc>
          <w:tcPr>
            <w:tcW w:w="1801" w:type="dxa"/>
            <w:vAlign w:val="center"/>
          </w:tcPr>
          <w:p w14:paraId="1C4D310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11月5日</w:t>
            </w:r>
          </w:p>
        </w:tc>
        <w:tc>
          <w:tcPr>
            <w:tcW w:w="6505" w:type="dxa"/>
            <w:vAlign w:val="center"/>
          </w:tcPr>
          <w:p w14:paraId="77AF9BB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界面优化全部完成（文案通俗化、功能整合），具备随部署上线条件</w:t>
            </w:r>
          </w:p>
        </w:tc>
      </w:tr>
      <w:tr w14:paraId="37812D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97" w:type="dxa"/>
            <w:vAlign w:val="center"/>
          </w:tcPr>
          <w:p w14:paraId="22ED712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M3</w:t>
            </w:r>
          </w:p>
        </w:tc>
        <w:tc>
          <w:tcPr>
            <w:tcW w:w="1801" w:type="dxa"/>
            <w:vAlign w:val="center"/>
          </w:tcPr>
          <w:p w14:paraId="323994C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11月6日</w:t>
            </w:r>
          </w:p>
        </w:tc>
        <w:tc>
          <w:tcPr>
            <w:tcW w:w="6505" w:type="dxa"/>
            <w:vAlign w:val="center"/>
          </w:tcPr>
          <w:p w14:paraId="5B890EA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现场部署完成，数据接收装载；图像类型抽取、规则来源切片完成</w:t>
            </w:r>
          </w:p>
        </w:tc>
      </w:tr>
      <w:tr w14:paraId="3DD5B2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97" w:type="dxa"/>
            <w:vAlign w:val="center"/>
          </w:tcPr>
          <w:p w14:paraId="05B8234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M4</w:t>
            </w:r>
          </w:p>
        </w:tc>
        <w:tc>
          <w:tcPr>
            <w:tcW w:w="1801" w:type="dxa"/>
            <w:vAlign w:val="center"/>
          </w:tcPr>
          <w:p w14:paraId="0713F6E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11月13日</w:t>
            </w:r>
          </w:p>
        </w:tc>
        <w:tc>
          <w:tcPr>
            <w:tcW w:w="6505" w:type="dxa"/>
            <w:vAlign w:val="center"/>
          </w:tcPr>
          <w:p w14:paraId="0758E7B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功能优化全部完成（个人工作台、异议标注、附件可修改、对话式生成规则）</w:t>
            </w:r>
          </w:p>
        </w:tc>
      </w:tr>
      <w:tr w14:paraId="666EDE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97" w:type="dxa"/>
            <w:vAlign w:val="center"/>
          </w:tcPr>
          <w:p w14:paraId="54A2DDA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M5</w:t>
            </w:r>
          </w:p>
        </w:tc>
        <w:tc>
          <w:tcPr>
            <w:tcW w:w="1801" w:type="dxa"/>
            <w:vAlign w:val="center"/>
          </w:tcPr>
          <w:p w14:paraId="5B6EEBF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11月20日</w:t>
            </w:r>
          </w:p>
        </w:tc>
        <w:tc>
          <w:tcPr>
            <w:tcW w:w="6505" w:type="dxa"/>
            <w:vAlign w:val="center"/>
          </w:tcPr>
          <w:p w14:paraId="237367E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生产环境测试与贵方联合测试完成，出具测试报告，整体交付验收（较初版提前一周）</w:t>
            </w:r>
          </w:p>
        </w:tc>
      </w:tr>
    </w:tbl>
    <w:p w14:paraId="65E34B7B">
      <w:pPr>
        <w:spacing w:before="280" w:after="160"/>
      </w:pPr>
      <w:r>
        <w:rPr>
          <w:rFonts w:ascii="微软雅黑" w:hAnsi="微软雅黑" w:eastAsia="微软雅黑" w:cs="微软雅黑"/>
          <w:b/>
          <w:sz w:val="30"/>
        </w:rPr>
        <w:t>五、需贵方配合事项</w:t>
      </w:r>
    </w:p>
    <w:tbl>
      <w:tblPr>
        <w:tblStyle w:val="33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72" w:type="dxa"/>
          <w:bottom w:w="80" w:type="dxa"/>
          <w:right w:w="72" w:type="dxa"/>
        </w:tblCellMar>
      </w:tblPr>
      <w:tblGrid>
        <w:gridCol w:w="797"/>
        <w:gridCol w:w="3058"/>
        <w:gridCol w:w="2363"/>
        <w:gridCol w:w="2884"/>
      </w:tblGrid>
      <w:tr w14:paraId="782E27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shd w:val="clear" w:color="auto" w:fill="000000"/>
            <w:vAlign w:val="center"/>
          </w:tcPr>
          <w:p w14:paraId="22E6BAB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3010" w:type="dxa"/>
            <w:shd w:val="clear" w:color="auto" w:fill="000000"/>
            <w:vAlign w:val="center"/>
          </w:tcPr>
          <w:p w14:paraId="1767908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配合事项</w:t>
            </w:r>
          </w:p>
        </w:tc>
        <w:tc>
          <w:tcPr>
            <w:tcW w:w="2326" w:type="dxa"/>
            <w:shd w:val="clear" w:color="auto" w:fill="000000"/>
            <w:vAlign w:val="center"/>
          </w:tcPr>
          <w:p w14:paraId="190FC82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建议时间</w:t>
            </w:r>
          </w:p>
        </w:tc>
        <w:tc>
          <w:tcPr>
            <w:tcW w:w="2838" w:type="dxa"/>
            <w:shd w:val="clear" w:color="auto" w:fill="000000"/>
            <w:vAlign w:val="center"/>
          </w:tcPr>
          <w:p w14:paraId="79C8830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影响范围</w:t>
            </w:r>
          </w:p>
        </w:tc>
      </w:tr>
      <w:tr w14:paraId="2E3471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5B25386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1</w:t>
            </w:r>
          </w:p>
        </w:tc>
        <w:tc>
          <w:tcPr>
            <w:tcW w:w="3010" w:type="dxa"/>
            <w:vAlign w:val="center"/>
          </w:tcPr>
          <w:p w14:paraId="6A9FCC0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确认服务范围与规模：财智公司及十个二级单位的用户数、单据量、并发情况</w:t>
            </w:r>
          </w:p>
        </w:tc>
        <w:tc>
          <w:tcPr>
            <w:tcW w:w="2326" w:type="dxa"/>
            <w:vAlign w:val="center"/>
          </w:tcPr>
          <w:p w14:paraId="08A3AB0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10月28日前</w:t>
            </w:r>
          </w:p>
        </w:tc>
        <w:tc>
          <w:tcPr>
            <w:tcW w:w="2838" w:type="dxa"/>
            <w:vAlign w:val="center"/>
          </w:tcPr>
          <w:p w14:paraId="0614806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服务器配置单终版（初版按典型规模先行估算，两日内交付）</w:t>
            </w:r>
          </w:p>
        </w:tc>
      </w:tr>
      <w:tr w14:paraId="54247D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2AED4DE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2</w:t>
            </w:r>
          </w:p>
        </w:tc>
        <w:tc>
          <w:tcPr>
            <w:tcW w:w="3010" w:type="dxa"/>
            <w:vAlign w:val="center"/>
          </w:tcPr>
          <w:p w14:paraId="5ADA394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提供应用服务器与网络环境（需可访问大模型服务接口）</w:t>
            </w:r>
          </w:p>
        </w:tc>
        <w:tc>
          <w:tcPr>
            <w:tcW w:w="2326" w:type="dxa"/>
            <w:vAlign w:val="center"/>
          </w:tcPr>
          <w:p w14:paraId="406BF32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10月31日前</w:t>
            </w:r>
          </w:p>
        </w:tc>
        <w:tc>
          <w:tcPr>
            <w:tcW w:w="2838" w:type="dxa"/>
            <w:vAlign w:val="center"/>
          </w:tcPr>
          <w:p w14:paraId="3DF0AA7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下周现场部署（第10项）</w:t>
            </w:r>
          </w:p>
        </w:tc>
      </w:tr>
      <w:tr w14:paraId="4E8B23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78F5FF6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3</w:t>
            </w:r>
          </w:p>
        </w:tc>
        <w:tc>
          <w:tcPr>
            <w:tcW w:w="3010" w:type="dxa"/>
            <w:vAlign w:val="center"/>
          </w:tcPr>
          <w:p w14:paraId="52DF6AF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提供大模型服务与密钥（或由我方协助开通）</w:t>
            </w:r>
          </w:p>
        </w:tc>
        <w:tc>
          <w:tcPr>
            <w:tcW w:w="2326" w:type="dxa"/>
            <w:vAlign w:val="center"/>
          </w:tcPr>
          <w:p w14:paraId="2E78A8E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11月3日前</w:t>
            </w:r>
          </w:p>
        </w:tc>
        <w:tc>
          <w:tcPr>
            <w:tcW w:w="2838" w:type="dxa"/>
            <w:vAlign w:val="center"/>
          </w:tcPr>
          <w:p w14:paraId="11DFA7E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部署联调与智能环节验证</w:t>
            </w:r>
          </w:p>
        </w:tc>
      </w:tr>
      <w:tr w14:paraId="4FD63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7FE6FE6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4</w:t>
            </w:r>
          </w:p>
        </w:tc>
        <w:tc>
          <w:tcPr>
            <w:tcW w:w="3010" w:type="dxa"/>
            <w:vAlign w:val="center"/>
          </w:tcPr>
          <w:p w14:paraId="5B25E0F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提供各二级单位差旅制度文件电子版、组织与账号数据（现场提供）</w:t>
            </w:r>
          </w:p>
        </w:tc>
        <w:tc>
          <w:tcPr>
            <w:tcW w:w="2326" w:type="dxa"/>
            <w:vAlign w:val="center"/>
          </w:tcPr>
          <w:p w14:paraId="396BBB9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11月2日—6日部署周</w:t>
            </w:r>
          </w:p>
        </w:tc>
        <w:tc>
          <w:tcPr>
            <w:tcW w:w="2838" w:type="dxa"/>
            <w:vAlign w:val="center"/>
          </w:tcPr>
          <w:p w14:paraId="1FC72F4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现场数据装载、账号权限配置</w:t>
            </w:r>
          </w:p>
        </w:tc>
      </w:tr>
      <w:tr w14:paraId="3DA94A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470AF86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5</w:t>
            </w:r>
          </w:p>
        </w:tc>
        <w:tc>
          <w:tcPr>
            <w:tcW w:w="3010" w:type="dxa"/>
            <w:vAlign w:val="center"/>
          </w:tcPr>
          <w:p w14:paraId="4F114BD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测试阶段安排业务人员参与联合设计测试</w:t>
            </w:r>
          </w:p>
        </w:tc>
        <w:tc>
          <w:tcPr>
            <w:tcW w:w="2326" w:type="dxa"/>
            <w:vAlign w:val="center"/>
          </w:tcPr>
          <w:p w14:paraId="71621D1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11月9日起</w:t>
            </w:r>
          </w:p>
        </w:tc>
        <w:tc>
          <w:tcPr>
            <w:tcW w:w="2838" w:type="dxa"/>
            <w:vAlign w:val="center"/>
          </w:tcPr>
          <w:p w14:paraId="1C039C0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我方提供操作手册与培训，降低操作门槛</w:t>
            </w:r>
          </w:p>
        </w:tc>
      </w:tr>
      <w:tr w14:paraId="3D4DB1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80" w:type="dxa"/>
            <w:left w:w="72" w:type="dxa"/>
            <w:bottom w:w="80" w:type="dxa"/>
            <w:right w:w="72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2587CC0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6</w:t>
            </w:r>
          </w:p>
        </w:tc>
        <w:tc>
          <w:tcPr>
            <w:tcW w:w="3010" w:type="dxa"/>
            <w:vAlign w:val="center"/>
          </w:tcPr>
          <w:p w14:paraId="24D9270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各里程碑节点安排半天评审确认</w:t>
            </w:r>
          </w:p>
        </w:tc>
        <w:tc>
          <w:tcPr>
            <w:tcW w:w="2326" w:type="dxa"/>
            <w:vAlign w:val="center"/>
          </w:tcPr>
          <w:p w14:paraId="69C33B3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各节点</w:t>
            </w:r>
          </w:p>
        </w:tc>
        <w:tc>
          <w:tcPr>
            <w:tcW w:w="2838" w:type="dxa"/>
            <w:vAlign w:val="center"/>
          </w:tcPr>
          <w:p w14:paraId="352BC6C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sz w:val="20"/>
              </w:rPr>
              <w:t>确认后进入下一阶段，变更需求纳入下一迭代</w:t>
            </w:r>
          </w:p>
        </w:tc>
      </w:tr>
    </w:tbl>
    <w:p w14:paraId="75B77362">
      <w:pPr>
        <w:spacing w:before="280" w:after="160"/>
      </w:pPr>
      <w:r>
        <w:rPr>
          <w:rFonts w:ascii="微软雅黑" w:hAnsi="微软雅黑" w:eastAsia="微软雅黑" w:cs="微软雅黑"/>
          <w:b/>
          <w:sz w:val="30"/>
        </w:rPr>
        <w:t>六、风险与说明</w:t>
      </w:r>
    </w:p>
    <w:p w14:paraId="0B52223B">
      <w:pPr>
        <w:spacing w:before="0" w:after="120"/>
      </w:pPr>
      <w:r>
        <w:rPr>
          <w:rFonts w:ascii="微软雅黑" w:hAnsi="微软雅黑" w:eastAsia="微软雅黑" w:cs="微软雅黑"/>
          <w:b w:val="0"/>
          <w:sz w:val="24"/>
        </w:rPr>
        <w:t>1.网络前提：系统通过外部大模型服务接口完成规则抽取、附件识别等智能环节，服务器需具备访问相关服务的网络条件，无需GPU。</w:t>
      </w:r>
    </w:p>
    <w:p w14:paraId="00BFC170">
      <w:pPr>
        <w:spacing w:before="0" w:after="120"/>
      </w:pPr>
      <w:r>
        <w:rPr>
          <w:rFonts w:ascii="微软雅黑" w:hAnsi="微软雅黑" w:eastAsia="微软雅黑" w:cs="微软雅黑"/>
          <w:b w:val="0"/>
          <w:sz w:val="24"/>
        </w:rPr>
        <w:t>2.部署依赖：本地部署提前至11月2日当周实施，请贵方于10月31日前提供服务器与网络环境；如晚于该时间，部署与测试相应顺延，顺延时间与到位时间同步。</w:t>
      </w:r>
    </w:p>
    <w:p w14:paraId="78F980F1">
      <w:pPr>
        <w:spacing w:before="0" w:after="120"/>
      </w:pPr>
      <w:r>
        <w:rPr>
          <w:rFonts w:ascii="微软雅黑" w:hAnsi="微软雅黑" w:eastAsia="微软雅黑" w:cs="微软雅黑"/>
          <w:b w:val="0"/>
          <w:sz w:val="24"/>
        </w:rPr>
        <w:t>3.配置单口径：为满足两日内交付，配置单初版按财智公司及十个二级单位的典型规模估算出具；规模数据确认后如有差异，当日更新终版，不阻塞交付。</w:t>
      </w:r>
    </w:p>
    <w:p w14:paraId="71B0495A">
      <w:pPr>
        <w:spacing w:before="0" w:after="120"/>
      </w:pPr>
      <w:r>
        <w:rPr>
          <w:rFonts w:ascii="微软雅黑" w:hAnsi="微软雅黑" w:eastAsia="微软雅黑" w:cs="微软雅黑"/>
          <w:b w:val="0"/>
          <w:sz w:val="24"/>
        </w:rPr>
        <w:t>4.现场数据：制度文件、组织与账号等数据需现场提供，已安排在部署周（11月2日—6日）接收装载；现场数据质量影响装载进度时，我方当日反馈并调整。</w:t>
      </w:r>
    </w:p>
    <w:p w14:paraId="599EEA3E">
      <w:pPr>
        <w:spacing w:before="0" w:after="120"/>
      </w:pPr>
      <w:r>
        <w:rPr>
          <w:rFonts w:ascii="微软雅黑" w:hAnsi="微软雅黑" w:eastAsia="微软雅黑" w:cs="微软雅黑"/>
          <w:b w:val="0"/>
          <w:sz w:val="24"/>
        </w:rPr>
        <w:t>5.操作门槛：界面文案与功能整合已于部署前完成，部署上线即为通俗版本；测试阶段另附操作手册并提供现场培训，尽量减少贵方操作难度。</w:t>
      </w:r>
    </w:p>
    <w:p w14:paraId="376C1E0F">
      <w:pPr>
        <w:spacing w:before="0" w:after="120"/>
      </w:pPr>
      <w:r>
        <w:rPr>
          <w:rFonts w:ascii="微软雅黑" w:hAnsi="微软雅黑" w:eastAsia="微软雅黑" w:cs="微软雅黑"/>
          <w:b w:val="0"/>
          <w:sz w:val="24"/>
        </w:rPr>
        <w:t>6.交互确认：对话式生成规则为新增能力，建议先以交互演示稿确认对话形式与规则呈现方式，再进入开发，避免返工。</w:t>
      </w:r>
    </w:p>
    <w:p w14:paraId="49CF2A30">
      <w:pPr>
        <w:spacing w:before="0" w:after="120"/>
      </w:pPr>
      <w:r>
        <w:rPr>
          <w:rFonts w:ascii="微软雅黑" w:hAnsi="微软雅黑" w:eastAsia="微软雅黑" w:cs="微软雅黑"/>
          <w:b w:val="0"/>
          <w:sz w:val="24"/>
        </w:rPr>
        <w:t>7.安全加固：生产环境将补充HTTPS配置与访问控制，附件原图查看纳入账号权限管控（演示环境已具备基础权限体系）。</w:t>
      </w:r>
    </w:p>
    <w:p w14:paraId="63058B0C">
      <w:pPr>
        <w:spacing w:before="0" w:after="120"/>
      </w:pPr>
      <w:r>
        <w:rPr>
          <w:rFonts w:ascii="微软雅黑" w:hAnsi="微软雅黑" w:eastAsia="微软雅黑" w:cs="微软雅黑"/>
          <w:b w:val="0"/>
          <w:sz w:val="24"/>
        </w:rPr>
        <w:t>8.本排期为建议方案，最终以双方确认为准；执行中如有调整，我方将提前同步并更新计划。</w:t>
      </w:r>
    </w:p>
    <w:sectPr>
      <w:pgSz w:w="11906" w:h="16838"/>
      <w:pgMar w:top="1361" w:right="1474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970D52"/>
    <w:rsid w:val="286D29E1"/>
    <w:rsid w:val="40903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JoJo</cp:lastModifiedBy>
  <dcterms:modified xsi:type="dcterms:W3CDTF">2026-10-26T09:03:44Z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2052-12.8.2.21177</vt:lpwstr>
  </property>
  <property fmtid="{D5CDD505-2E9C-101B-9397-08002B2CF9AE}" pid="3" name="ICV">
    <vt:lpwstr>D8A97B52EFB44353A27EDE27649FAAB0_12</vt:lpwstr>
  </property>
</Properties>
</file>