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Arial" w:hAnsi="Arial" w:eastAsia="黑体"/>
          <w:b/>
          <w:sz w:val="32"/>
        </w:rPr>
        <w:t>规则管理员（知识工程师）角色重构方案</w:t>
      </w:r>
    </w:p>
    <w:p>
      <w:pPr>
        <w:spacing w:after="200"/>
        <w:jc w:val="center"/>
      </w:pPr>
      <w:r>
        <w:rPr>
          <w:rFonts w:ascii="Times New Roman" w:hAnsi="Times New Roman" w:eastAsia="宋体"/>
          <w:color w:val="595959"/>
          <w:sz w:val="21"/>
        </w:rPr>
        <w:t>福建海运集团POC·差旅费智能审核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sz w:val="21"/>
        </w:rPr>
        <w:t>版本v0.1（内部讨论稿，2026-10-25）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sz w:val="21"/>
        </w:rPr>
        <w:t>状态待与客户沟通后定稿</w:t>
      </w:r>
    </w:p>
    <w:p>
      <w:pPr>
        <w:spacing w:before="240" w:after="120" w:line="312" w:lineRule="auto"/>
      </w:pPr>
      <w:r>
        <w:rPr>
          <w:rFonts w:ascii="Arial" w:hAnsi="Arial" w:eastAsia="黑体"/>
          <w:b/>
          <w:sz w:val="28"/>
        </w:rPr>
        <w:t>一、问题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sz w:val="21"/>
        </w:rPr>
        <w:t>知识工程师这条菜单链（制度文件库→规则抽取→本体工场→业务本体→规则本体→流程本体→发布管理）从demo迭代至今，调整的始终是布局与样式，</w:t>
      </w:r>
      <w:r>
        <w:rPr>
          <w:rFonts w:ascii="Times New Roman" w:hAnsi="Times New Roman" w:eastAsia="宋体"/>
          <w:b/>
          <w:sz w:val="21"/>
        </w:rPr>
        <w:t>页面语言从未换成使用者的语言</w:t>
      </w:r>
      <w:r>
        <w:rPr>
          <w:rFonts w:ascii="Times New Roman" w:hAnsi="Times New Roman" w:eastAsia="宋体"/>
          <w:sz w:val="21"/>
        </w:rPr>
        <w:t>。当前界面按实现结构命名：本体、三元、增量指纹、列映射、存储链路。这些是实现层词汇，高校或集团财务共享中心的制度管理员（本角色的真实使用者）没有对应的心智。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b/>
          <w:sz w:val="21"/>
        </w:rPr>
        <w:t>判断</w:t>
      </w:r>
      <w:r>
        <w:rPr>
          <w:rFonts w:ascii="Times New Roman" w:hAnsi="Times New Roman" w:eastAsia="宋体"/>
          <w:sz w:val="21"/>
        </w:rPr>
        <w:t>：这不是样式问题，是信息架构问题。修补布局、间距、对齐无法解决——需要按角色的真实工作重新组织页面。</w:t>
      </w:r>
    </w:p>
    <w:p>
      <w:pPr>
        <w:spacing w:before="240" w:after="120" w:line="312" w:lineRule="auto"/>
      </w:pPr>
      <w:r>
        <w:rPr>
          <w:rFonts w:ascii="Arial" w:hAnsi="Arial" w:eastAsia="黑体"/>
          <w:b/>
          <w:sz w:val="28"/>
        </w:rPr>
        <w:t>二、角色重新定义</w:t>
      </w:r>
    </w:p>
    <w:p>
      <w:pPr>
        <w:spacing w:before="200" w:after="80" w:line="312" w:lineRule="auto"/>
      </w:pPr>
      <w:r>
        <w:rPr>
          <w:rFonts w:ascii="Arial" w:hAnsi="Arial" w:eastAsia="黑体"/>
          <w:b/>
          <w:sz w:val="24"/>
        </w:rPr>
        <w:t>2.1角色定位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sz w:val="21"/>
        </w:rPr>
        <w:t>本角色是客户侧的</w:t>
      </w:r>
      <w:r>
        <w:rPr>
          <w:rFonts w:ascii="Times New Roman" w:hAnsi="Times New Roman" w:eastAsia="宋体"/>
          <w:b/>
          <w:sz w:val="21"/>
        </w:rPr>
        <w:t>规则管理员</w:t>
      </w:r>
      <w:r>
        <w:rPr>
          <w:rFonts w:ascii="Times New Roman" w:hAnsi="Times New Roman" w:eastAsia="宋体"/>
          <w:sz w:val="21"/>
        </w:rPr>
        <w:t>（界面显示名待定，候选：制度管理员、规则维护员）。负责保证差旅费审核规则与客户制度一致，并让规则安全生效。</w:t>
      </w:r>
    </w:p>
    <w:p>
      <w:pPr>
        <w:spacing w:before="200" w:after="80" w:line="312" w:lineRule="auto"/>
      </w:pPr>
      <w:r>
        <w:rPr>
          <w:rFonts w:ascii="Arial" w:hAnsi="Arial" w:eastAsia="黑体"/>
          <w:b/>
          <w:sz w:val="24"/>
        </w:rPr>
        <w:t>2.2工作流四步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b/>
          <w:sz w:val="21"/>
        </w:rPr>
        <w:t>一是传文件。</w:t>
      </w:r>
      <w:r>
        <w:rPr>
          <w:rFonts w:ascii="Times New Roman" w:hAnsi="Times New Roman" w:eastAsia="宋体"/>
          <w:sz w:val="21"/>
        </w:rPr>
        <w:t>把客户的差旅制度文件上传到系统，系统自动识别新增文件与被修改文件，不需要人工判断哪些要重新处理。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b/>
          <w:sz w:val="21"/>
        </w:rPr>
        <w:t>二是AI跑一遍。</w:t>
      </w:r>
      <w:r>
        <w:rPr>
          <w:rFonts w:ascii="Times New Roman" w:hAnsi="Times New Roman" w:eastAsia="宋体"/>
          <w:sz w:val="21"/>
        </w:rPr>
        <w:t>点一下按钮，系统对新增与改动的文件执行OCR、条款切分、AI草稿生成；执行前显示预计要处理几份、预计调用多少次模型（涉及费用）。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b/>
          <w:sz w:val="21"/>
        </w:rPr>
        <w:t>三是审定。</w:t>
      </w:r>
      <w:r>
        <w:rPr>
          <w:rFonts w:ascii="Times New Roman" w:hAnsi="Times New Roman" w:eastAsia="宋体"/>
          <w:sz w:val="21"/>
        </w:rPr>
        <w:t>逐条查看AI草稿，采纳或驳回；驳回必须填写原因；审定必须选择审定人（默认当前登录人），全程留痕可追溯。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b/>
          <w:sz w:val="21"/>
        </w:rPr>
        <w:t>四是发布。</w:t>
      </w:r>
      <w:r>
        <w:rPr>
          <w:rFonts w:ascii="Times New Roman" w:hAnsi="Times New Roman" w:eastAsia="宋体"/>
          <w:sz w:val="21"/>
        </w:rPr>
        <w:t>审定完成的规则打包为版本，签字确认后生效；生效版本有完整列表；出问题可一键回滚到上一版。</w:t>
      </w:r>
    </w:p>
    <w:p>
      <w:pPr>
        <w:spacing w:before="200" w:after="80" w:line="312" w:lineRule="auto"/>
      </w:pPr>
      <w:r>
        <w:rPr>
          <w:rFonts w:ascii="Arial" w:hAnsi="Arial" w:eastAsia="黑体"/>
          <w:b/>
          <w:sz w:val="24"/>
        </w:rPr>
        <w:t>2.3左侧菜单（四项对应四步）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sz w:val="21"/>
        </w:rPr>
        <w:t>表1角色菜单与工作步骤对照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8278" w:type="dxa"/>
      </w:tblPr>
      <w:tblGrid>
        <w:gridCol w:w="675"/>
        <w:gridCol w:w="1741"/>
        <w:gridCol w:w="2240"/>
        <w:gridCol w:w="3623"/>
      </w:tblGrid>
      <w:tr>
        <w:trPr>
          <w:cantSplit/>
          <w:tblHeader w:val="true"/>
        </w:trPr>
        <w:tc>
          <w:tcPr>
            <w:tcW w:type="dxa" w:w="675"/>
            <w:vAlign w:val="center"/>
            <w:shd w:val="clear" w:color="auto" w:fill="F0F0F0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740"/>
            <w:vAlign w:val="center"/>
            <w:shd w:val="clear" w:color="auto" w:fill="F0F0F0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菜单</w:t>
            </w:r>
          </w:p>
        </w:tc>
        <w:tc>
          <w:tcPr>
            <w:tcW w:type="dxa" w:w="2239"/>
            <w:vAlign w:val="center"/>
            <w:shd w:val="clear" w:color="auto" w:fill="F0F0F0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对应步骤</w:t>
            </w:r>
          </w:p>
        </w:tc>
        <w:tc>
          <w:tcPr>
            <w:tcW w:type="dxa" w:w="3623"/>
            <w:vAlign w:val="center"/>
            <w:shd w:val="clear" w:color="auto" w:fill="F0F0F0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主要操作</w:t>
            </w:r>
          </w:p>
        </w:tc>
      </w:tr>
      <w:tr>
        <w:trPr>
          <w:cantSplit/>
        </w:trPr>
        <w:tc>
          <w:tcPr>
            <w:tcW w:type="dxa" w:w="675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740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制度文件</w:t>
            </w:r>
          </w:p>
        </w:tc>
        <w:tc>
          <w:tcPr>
            <w:tcW w:type="dxa" w:w="2239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传文件</w:t>
            </w:r>
          </w:p>
        </w:tc>
        <w:tc>
          <w:tcPr>
            <w:tcW w:type="dxa" w:w="3623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上传、查看解析状态、删除</w:t>
            </w:r>
          </w:p>
        </w:tc>
      </w:tr>
      <w:tr>
        <w:trPr>
          <w:cantSplit/>
        </w:trPr>
        <w:tc>
          <w:tcPr>
            <w:tcW w:type="dxa" w:w="675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740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AI草稿</w:t>
            </w:r>
          </w:p>
        </w:tc>
        <w:tc>
          <w:tcPr>
            <w:tcW w:type="dxa" w:w="2239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AI跑一遍+审定</w:t>
            </w:r>
          </w:p>
        </w:tc>
        <w:tc>
          <w:tcPr>
            <w:tcW w:type="dxa" w:w="3623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启动AI、逐条采纳/驳回</w:t>
            </w:r>
          </w:p>
        </w:tc>
      </w:tr>
      <w:tr>
        <w:trPr>
          <w:cantSplit/>
        </w:trPr>
        <w:tc>
          <w:tcPr>
            <w:tcW w:type="dxa" w:w="675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740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规则库</w:t>
            </w:r>
          </w:p>
        </w:tc>
        <w:tc>
          <w:tcPr>
            <w:tcW w:type="dxa" w:w="2239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维护生效规则</w:t>
            </w:r>
          </w:p>
        </w:tc>
        <w:tc>
          <w:tcPr>
            <w:tcW w:type="dxa" w:w="3623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查看规则全集、生效版本归属</w:t>
            </w:r>
          </w:p>
        </w:tc>
      </w:tr>
      <w:tr>
        <w:trPr>
          <w:cantSplit/>
        </w:trPr>
        <w:tc>
          <w:tcPr>
            <w:tcW w:type="dxa" w:w="675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740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发布管理</w:t>
            </w:r>
          </w:p>
        </w:tc>
        <w:tc>
          <w:tcPr>
            <w:tcW w:type="dxa" w:w="2239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发布</w:t>
            </w:r>
          </w:p>
        </w:tc>
        <w:tc>
          <w:tcPr>
            <w:tcW w:type="dxa" w:w="3623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打版本、签字、生效、回滚</w:t>
            </w:r>
          </w:p>
        </w:tc>
      </w:tr>
    </w:tbl>
    <w:p>
      <w:pPr>
        <w:spacing w:after="0" w:line="240" w:lineRule="auto"/>
      </w:pPr>
    </w:p>
    <w:p>
      <w:pPr>
        <w:spacing w:before="240" w:after="120" w:line="312" w:lineRule="auto"/>
      </w:pPr>
      <w:r>
        <w:rPr>
          <w:rFonts w:ascii="Arial" w:hAnsi="Arial" w:eastAsia="黑体"/>
          <w:b/>
          <w:sz w:val="28"/>
        </w:rPr>
        <w:t>三、能力对照（后端已全部支持，无需开发）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sz w:val="21"/>
        </w:rPr>
        <w:t>表2现有后端端点与新界面映射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8278" w:type="dxa"/>
      </w:tblPr>
      <w:tblGrid>
        <w:gridCol w:w="658"/>
        <w:gridCol w:w="1826"/>
        <w:gridCol w:w="3629"/>
        <w:gridCol w:w="2166"/>
      </w:tblGrid>
      <w:tr>
        <w:trPr>
          <w:cantSplit/>
          <w:tblHeader w:val="true"/>
        </w:trPr>
        <w:tc>
          <w:tcPr>
            <w:tcW w:type="dxa" w:w="658"/>
            <w:vAlign w:val="center"/>
            <w:shd w:val="clear" w:color="auto" w:fill="F0F0F0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826"/>
            <w:vAlign w:val="center"/>
            <w:shd w:val="clear" w:color="auto" w:fill="F0F0F0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新界面功能</w:t>
            </w:r>
          </w:p>
        </w:tc>
        <w:tc>
          <w:tcPr>
            <w:tcW w:type="dxa" w:w="3628"/>
            <w:vAlign w:val="center"/>
            <w:shd w:val="clear" w:color="auto" w:fill="F0F0F0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复用的后端端点</w:t>
            </w:r>
          </w:p>
        </w:tc>
        <w:tc>
          <w:tcPr>
            <w:tcW w:type="dxa" w:w="2166"/>
            <w:vAlign w:val="center"/>
            <w:shd w:val="clear" w:color="auto" w:fill="F0F0F0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658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826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上传文件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doclib/upload、roots、scan、changes</w:t>
            </w:r>
          </w:p>
        </w:tc>
        <w:tc>
          <w:tcPr>
            <w:tcW w:type="dxa" w:w="2166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已实现</w:t>
            </w:r>
          </w:p>
        </w:tc>
      </w:tr>
      <w:tr>
        <w:trPr>
          <w:cantSplit/>
        </w:trPr>
        <w:tc>
          <w:tcPr>
            <w:tcW w:type="dxa" w:w="658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826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增量AI执行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extract/run、incremental、progress</w:t>
            </w:r>
          </w:p>
        </w:tc>
        <w:tc>
          <w:tcPr>
            <w:tcW w:type="dxa" w:w="2166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含成本预估</w:t>
            </w:r>
          </w:p>
        </w:tc>
      </w:tr>
      <w:tr>
        <w:trPr>
          <w:cantSplit/>
        </w:trPr>
        <w:tc>
          <w:tcPr>
            <w:tcW w:type="dxa" w:w="658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826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草稿审定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extract/ drafts、review</w:t>
            </w:r>
          </w:p>
        </w:tc>
        <w:tc>
          <w:tcPr>
            <w:tcW w:type="dxa" w:w="2166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审定人必选、驳回留痕已实现</w:t>
            </w:r>
          </w:p>
        </w:tc>
      </w:tr>
      <w:tr>
        <w:trPr>
          <w:cantSplit/>
        </w:trPr>
        <w:tc>
          <w:tcPr>
            <w:tcW w:type="dxa" w:w="658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826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规则明细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extract/details、stats、tags</w:t>
            </w:r>
          </w:p>
        </w:tc>
        <w:tc>
          <w:tcPr>
            <w:tcW w:type="dxa" w:w="2166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含逐列留痕</w:t>
            </w:r>
          </w:p>
        </w:tc>
      </w:tr>
      <w:tr>
        <w:trPr>
          <w:cantSplit/>
        </w:trPr>
        <w:tc>
          <w:tcPr>
            <w:tcW w:type="dxa" w:w="658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1826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发布与回滚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publish/ freeze、review、publish、current、rollback</w:t>
            </w:r>
          </w:p>
        </w:tc>
        <w:tc>
          <w:tcPr>
            <w:tcW w:type="dxa" w:w="2166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版本列表已实现</w:t>
            </w:r>
          </w:p>
        </w:tc>
      </w:tr>
      <w:tr>
        <w:trPr>
          <w:cantSplit/>
        </w:trPr>
        <w:tc>
          <w:tcPr>
            <w:tcW w:type="dxa" w:w="658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1826"/>
            <w:vAlign w:val="center"/>
          </w:tcPr>
          <w:p>
            <w:pPr>
              <w:spacing w:line="240" w:lineRule="auto" w:after="20" w:before="20"/>
              <w:jc w:val="center"/>
            </w:pPr>
            <w:r>
              <w:rPr>
                <w:rFonts w:ascii="Times New Roman" w:hAnsi="Times New Roman" w:eastAsia="宋体"/>
                <w:sz w:val="18"/>
              </w:rPr>
              <w:t>报销标准字典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lookup-tables、ontology</w:t>
            </w:r>
          </w:p>
        </w:tc>
        <w:tc>
          <w:tcPr>
            <w:tcW w:type="dxa" w:w="2166"/>
            <w:vAlign w:val="center"/>
          </w:tcPr>
          <w:p>
            <w:pPr>
              <w:spacing w:line="240" w:lineRule="auto" w:after="20" w:before="20"/>
              <w:jc w:val="left"/>
            </w:pPr>
            <w:r>
              <w:rPr>
                <w:rFonts w:ascii="Times New Roman" w:hAnsi="Times New Roman" w:eastAsia="宋体"/>
                <w:sz w:val="18"/>
              </w:rPr>
              <w:t>即现“业务本体”</w:t>
            </w:r>
          </w:p>
        </w:tc>
      </w:tr>
    </w:tbl>
    <w:p>
      <w:pPr>
        <w:spacing w:after="0" w:line="240" w:lineRule="auto"/>
      </w:pPr>
    </w:p>
    <w:p>
      <w:pPr>
        <w:spacing w:before="240" w:after="120" w:line="312" w:lineRule="auto"/>
      </w:pPr>
      <w:r>
        <w:rPr>
          <w:rFonts w:ascii="Arial" w:hAnsi="Arial" w:eastAsia="黑体"/>
          <w:b/>
          <w:sz w:val="28"/>
        </w:rPr>
        <w:t>四、从业务界面拿掉的内容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sz w:val="21"/>
        </w:rPr>
        <w:t>以下内容</w:t>
      </w:r>
      <w:r>
        <w:rPr>
          <w:rFonts w:ascii="Times New Roman" w:hAnsi="Times New Roman" w:eastAsia="宋体"/>
          <w:b/>
          <w:sz w:val="21"/>
        </w:rPr>
        <w:t>不删除功能</w:t>
      </w:r>
      <w:r>
        <w:rPr>
          <w:rFonts w:ascii="Times New Roman" w:hAnsi="Times New Roman" w:eastAsia="宋体"/>
          <w:sz w:val="21"/>
        </w:rPr>
        <w:t>，只从业务角色的界面移除：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b/>
          <w:sz w:val="21"/>
        </w:rPr>
        <w:t>一是</w:t>
      </w:r>
      <w:r>
        <w:rPr>
          <w:rFonts w:ascii="Times New Roman" w:hAnsi="Times New Roman" w:eastAsia="宋体"/>
          <w:sz w:val="21"/>
        </w:rPr>
        <w:t>本体三页（业务本体、规则本体、流程本体）。属于系统内部实现结构，业务角色不需要理解“规则存在哪个表”。其中报销标准字典部分拟以「报销标准」名义并入规则库页签。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b/>
          <w:sz w:val="21"/>
        </w:rPr>
        <w:t>二是</w:t>
      </w:r>
      <w:r>
        <w:rPr>
          <w:rFonts w:ascii="Times New Roman" w:hAnsi="Times New Roman" w:eastAsia="宋体"/>
          <w:sz w:val="21"/>
        </w:rPr>
        <w:t>排障底账（存储链路、访问日志、增量指纹、列映射说明）。收进「高级」折叠区，默认不可见。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b/>
          <w:sz w:val="21"/>
        </w:rPr>
        <w:t>三是</w:t>
      </w:r>
      <w:r>
        <w:rPr>
          <w:rFonts w:ascii="Times New Roman" w:hAnsi="Times New Roman" w:eastAsia="宋体"/>
          <w:sz w:val="21"/>
        </w:rPr>
        <w:t>单步调试（只跑OCR、只切条款、只跑AI草稿）。这是实施人员的逃生门工具，拟移至系统管理员入口，业务角色不可见。</w:t>
      </w:r>
    </w:p>
    <w:p>
      <w:pPr>
        <w:spacing w:before="240" w:after="120" w:line="312" w:lineRule="auto"/>
      </w:pPr>
      <w:r>
        <w:rPr>
          <w:rFonts w:ascii="Arial" w:hAnsi="Arial" w:eastAsia="黑体"/>
          <w:b/>
          <w:sz w:val="28"/>
        </w:rPr>
        <w:t>五、待与客户确认的决策点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b/>
          <w:sz w:val="21"/>
        </w:rPr>
        <w:t>一是</w:t>
      </w:r>
      <w:r>
        <w:rPr>
          <w:rFonts w:ascii="Times New Roman" w:hAnsi="Times New Roman" w:eastAsia="宋体"/>
          <w:sz w:val="21"/>
        </w:rPr>
        <w:t>角色名称。候选：规则管理员、制度管理员、规则维护员。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b/>
          <w:sz w:val="21"/>
        </w:rPr>
        <w:t>二是</w:t>
      </w:r>
      <w:r>
        <w:rPr>
          <w:rFonts w:ascii="Times New Roman" w:hAnsi="Times New Roman" w:eastAsia="宋体"/>
          <w:sz w:val="21"/>
        </w:rPr>
        <w:t>四步工作流划分是否认可。有无需要合并或增加的步骤（如是否需要独立的“报销标准维护”入口）。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b/>
          <w:sz w:val="21"/>
        </w:rPr>
        <w:t>三是</w:t>
      </w:r>
      <w:r>
        <w:rPr>
          <w:rFonts w:ascii="Times New Roman" w:hAnsi="Times New Roman" w:eastAsia="宋体"/>
          <w:sz w:val="21"/>
        </w:rPr>
        <w:t>本体三页的处置方式。并入规则库页签、保留为高级区入口、或完全隐藏。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b/>
          <w:sz w:val="21"/>
        </w:rPr>
        <w:t>四是</w:t>
      </w:r>
      <w:r>
        <w:rPr>
          <w:rFonts w:ascii="Times New Roman" w:hAnsi="Times New Roman" w:eastAsia="宋体"/>
          <w:sz w:val="21"/>
        </w:rPr>
        <w:t>单步调试的归属。系统管理员保留、或完全移除。</w:t>
      </w:r>
    </w:p>
    <w:p>
      <w:pPr>
        <w:spacing w:before="240" w:after="120" w:line="312" w:lineRule="auto"/>
      </w:pPr>
      <w:r>
        <w:rPr>
          <w:rFonts w:ascii="Arial" w:hAnsi="Arial" w:eastAsia="黑体"/>
          <w:b/>
          <w:sz w:val="28"/>
        </w:rPr>
        <w:t>六、实施预估</w:t>
      </w:r>
    </w:p>
    <w:p>
      <w:pPr>
        <w:spacing w:line="360" w:lineRule="auto" w:after="60" w:before="0"/>
        <w:ind w:firstLineChars="200" w:firstLine="420"/>
        <w:jc w:val="both"/>
      </w:pPr>
      <w:r>
        <w:rPr>
          <w:rFonts w:ascii="Times New Roman" w:hAnsi="Times New Roman" w:eastAsia="宋体"/>
          <w:sz w:val="21"/>
        </w:rPr>
        <w:t>新聚合首页（四步工作流+各步当前状态+右侧操作区）约半天；导航收敛与词汇替换约半天；分两批交付，第一批先出角色首页与AI草稿审定页。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kinsoku w:val="1"/>
        <w:overflowPunct w:val="1"/>
        <w:autoSpaceDE w:val="1"/>
        <w:autoSpaceDN w:val="1"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规则管理员（知识工程师）角色重构方案</dc:title>
  <dc:subject/>
  <dc:creator>FDE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