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Guía rápida de sustentación</w:t>
      </w:r>
    </w:p>
    <w:p>
      <w:pPr>
        <w:pStyle w:val="Subtitle"/>
      </w:pPr>
      <w:r>
        <w:rPr>
          <w:lang w:val="es"/>
        </w:rPr>
        <w:t xml:space="preserve">Las 30 preguntas guía y los componentes de AWS — Parcial 1, Big Data e Ingeniería de Datos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guía-rápida-de-sustentación"/>
    <w:p>
      <w:pPr>
        <w:pStyle w:val="Heading1"/>
      </w:pPr>
      <w:r>
        <w:rPr>
          <w:lang w:val="es"/>
        </w:rPr>
        <w:t xml:space="preserve">Guía rápida de sustentación</w:t>
      </w:r>
    </w:p>
    <w:p>
      <w:pPr>
        <w:pStyle w:val="BlockText"/>
      </w:pPr>
      <w:r>
        <w:rPr>
          <w:lang w:val="es"/>
        </w:rPr>
        <w:t xml:space="preserve">Material de repaso para la defensa oral. Dos partes:</w:t>
      </w:r>
    </w:p>
    <w:p>
      <w:pPr>
        <w:pStyle w:val="BlockText"/>
      </w:pPr>
      <w:r>
        <w:rPr>
          <w:b/>
          <w:bCs/>
          <w:lang w:val="es"/>
        </w:rPr>
        <w:t xml:space="preserve">Parte 1</w:t>
      </w:r>
      <w:r>
        <w:rPr>
          <w:lang w:val="es"/>
        </w:rPr>
        <w:t xml:space="preserve"> </w:t>
      </w:r>
      <w:r>
        <w:rPr>
          <w:lang w:val="es"/>
        </w:rPr>
        <w:t xml:space="preserve">— las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30 preguntas guía</w:t>
      </w:r>
      <w:r>
        <w:rPr>
          <w:lang w:val="es"/>
        </w:rPr>
        <w:t xml:space="preserve"> </w:t>
      </w:r>
      <w:r>
        <w:rPr>
          <w:lang w:val="es"/>
        </w:rPr>
        <w:t xml:space="preserve">del enunciado, respondidas en una línea cada una. La versión larga está en el §3 del documento final; esta es la que se puede recordar de pie frente al profesor.</w:t>
      </w:r>
    </w:p>
    <w:p>
      <w:pPr>
        <w:pStyle w:val="BlockText"/>
      </w:pPr>
      <w:r>
        <w:rPr>
          <w:b/>
          <w:bCs/>
          <w:lang w:val="es"/>
        </w:rPr>
        <w:t xml:space="preserve">Parte 2</w:t>
      </w:r>
      <w:r>
        <w:rPr>
          <w:lang w:val="es"/>
        </w:rPr>
        <w:t xml:space="preserve"> </w:t>
      </w:r>
      <w:r>
        <w:rPr>
          <w:lang w:val="es"/>
        </w:rPr>
        <w:t xml:space="preserve">—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qué hace cada componente de AWS</w:t>
      </w:r>
      <w:r>
        <w:rPr>
          <w:lang w:val="es"/>
        </w:rPr>
        <w:t xml:space="preserve"> </w:t>
      </w:r>
      <w:r>
        <w:rPr>
          <w:lang w:val="es"/>
        </w:rPr>
        <w:t xml:space="preserve">en esta implementación concreta. No definiciones de manual: para qué se usó aquí.</w:t>
      </w:r>
    </w:p>
    <w:p>
      <w:r>
        <w:pict>
          <v:rect style="width:0;height:1.5pt" o:hralign="center" o:hrstd="t" o:hr="t"/>
        </w:pict>
      </w:r>
    </w:p>
    <w:bookmarkEnd w:id="9"/>
    <w:bookmarkStart w:id="16" w:name="X6555bc64dff2c4e7902c68d2b9d65ca0ab12633"/>
    <w:p>
      <w:pPr>
        <w:pStyle w:val="Heading1"/>
      </w:pPr>
      <w:r>
        <w:rPr>
          <w:lang w:val="es"/>
        </w:rPr>
        <w:t xml:space="preserve">Parte 1 — Las 30 preguntas guía, en una línea</w:t>
      </w:r>
    </w:p>
    <w:p>
      <w:pPr>
        <w:pStyle w:val="FirstParagraph"/>
      </w:pPr>
      <w:r>
        <w:rPr>
          <w:lang w:val="es"/>
        </w:rPr>
        <w:t xml:space="preserve">El enunciado plantea 30 preguntas guía: 5 en 5.1, 6 en 5.2, 5 en 5.3, 5 en 5.4, 4 en 5.5 y 5 en 5.7.</w:t>
      </w:r>
    </w:p>
    <w:bookmarkStart w:id="10" w:name="X6049a29c3d0a41468e9905d3eed7c8b33452353"/>
    <w:p>
      <w:pPr>
        <w:pStyle w:val="Heading2"/>
      </w:pPr>
      <w:r>
        <w:rPr>
          <w:lang w:val="es"/>
        </w:rPr>
        <w:t xml:space="preserve">5.1 — Requisitos funcionales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¿Quiénes son los actores? ¿Mismo sistema o interfaces distintas?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Siete actores, cuatro superficies de entrada,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 solo backend y un solo dominio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si cada canal tuviera su lógica de inventario, la garantía de no-sobreventa habría que probarla cuatro veces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¿Reserva multi-tramo: una reserva o varias encadenadas?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Un PNR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itinerary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como entidad intermedia: el pasajero compró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 viaje</w:t>
            </w:r>
            <w:r>
              <w:rPr>
                <w:lang w:val="es"/>
              </w:rPr>
              <w:t xml:space="preserve">, no tres vuelos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¿Se permite reservar sin pagar?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Sí, 20 minutos en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HELD</w:t>
            </w:r>
            <w:r>
              <w:rPr>
                <w:lang w:val="es"/>
              </w:rPr>
              <w:t xml:space="preserve">. El pago no es atómico con la reserva,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pero la retención sí lo es con la verificación de inventario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pasa si cancela o cambia la fecha?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Ambas operan sobre el itinerario. Cancelar libera inventario de inmediato; cambiar es cancelar + reemitir en el mismo PNR.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Nada se borra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¿Las agencias tienen flujo diferente?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Mismo flujo de dominio; distinto contrato, tarifa y medio de pago.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Lo único que cambia de verdad es el paso de pago</w:t>
            </w:r>
            <w:r>
              <w:rPr>
                <w:lang w:val="es"/>
              </w:rPr>
              <w:t xml:space="preserve">: cupo de crédito en vez de tarjeta</w:t>
            </w:r>
          </w:p>
        </w:tc>
      </w:tr>
    </w:tbl>
    <w:bookmarkEnd w:id="10"/>
    <w:bookmarkStart w:id="11" w:name="Xa209f62426422def6e7298690c51d19baa86bff"/>
    <w:p>
      <w:pPr>
        <w:pStyle w:val="Heading2"/>
      </w:pPr>
      <w:r>
        <w:rPr>
          <w:lang w:val="es"/>
        </w:rPr>
        <w:t xml:space="preserve">5.2 — Requisitos no funcionales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tiempo de respuesta? ¿Cambia con escalas?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p95 ≤ 400 ms directos, ≤ 1.200 ms con escalas. Cambia porque directo es una consulta indexada y con escalas es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búsqueda de caminos en un grafo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 validación de conexión en cada nodo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¿Dos pasajeros por la última silla?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Uno gana de forma determinista y el otro recibe rechazo inmediato y claro.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Nunca dos confirmaciones</w:t>
            </w:r>
            <w:r>
              <w:rPr>
                <w:lang w:val="es"/>
              </w:rPr>
              <w:t xml:space="preserve">, y se prefiere rechazar rápido antes que confirmar y revertir: revertir una venta tiene costo regulatorio, un rechazo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número traduce "no se puede caer"?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99,9%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(43,2 min/mes), 99,95% en temporada alta. No 99,99% porque exige multi-región activa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y una base escribible en dos regiones no puede serializar el inventario barato</w:t>
            </w:r>
            <w:r>
              <w:rPr>
                <w:lang w:val="es"/>
              </w:rPr>
              <w:t xml:space="preserve">. Multi-AZ cuesta +28,58 USD/mes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¿Cómo se protegen los datos? ¿Qué regulación?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Tres marcos: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PCI-DSS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(reducido a SAQ-A al delegar el pago),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Ley 1581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Habeas Data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RGPD</w:t>
            </w:r>
            <w:r>
              <w:rPr>
                <w:lang w:val="es"/>
              </w:rPr>
              <w:t xml:space="preserve">. El sistema nunca ve el número de tarjeta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 20 rutas nuevas, ¿primer cuello de botella?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 el almacenamiento: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explosión combinatoria de la búsqueda con escalas</w:t>
            </w:r>
            <w:r>
              <w:rPr>
                <w:lang w:val="es"/>
              </w:rPr>
              <w:t xml:space="preserve">, que crece con los pares de rutas que comparten aeropuerto — aproximadamente cuadrático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tan importante es el historial?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Crítico por tres razones distintas: comercial (disputas), financiera (comisiones)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analítica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los patrones de cancelación no son calculables sin él</w:t>
            </w:r>
          </w:p>
        </w:tc>
      </w:tr>
    </w:tbl>
    <w:bookmarkEnd w:id="11"/>
    <w:bookmarkStart w:id="12" w:name="Xb9bac5a9f2f4efe7a73b7825347a66a6ffa051c"/>
    <w:p>
      <w:pPr>
        <w:pStyle w:val="Heading2"/>
      </w:pPr>
      <w:r>
        <w:rPr>
          <w:lang w:val="es"/>
        </w:rPr>
        <w:t xml:space="preserve">5.3 — Modelo entidad-relación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¿Itinerario: entidad propia o relación directa?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Entidad propia.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El itinerario es la unidad de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cancelación y tarifación</w:t>
            </w:r>
            <w:r>
              <w:rPr>
                <w:lang w:val="es"/>
              </w:rPr>
              <w:t xml:space="preserve">; el tramo es la unidad de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inventario</w:t>
            </w:r>
            <w:r>
              <w:rPr>
                <w:lang w:val="es"/>
              </w:rPr>
              <w:t xml:space="preserve">. Granos distintos, entidades distintas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¿La silla es parte de la reserva o del check-in?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Del check-in. Y no es un detalle de conveniencia: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desacoplar la silla de la venta es lo que hace barato el control de capacidad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¿Cómo se representa un vuelo que se repite?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Dos entidades: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scheduled_flight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(plantilla) 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flight_instance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(fecha concreta).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capacidad no es del programado, es de la instancia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¿Dónde vive el control de inventario?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flight_inventory</w:t>
            </w:r>
            <w:r>
              <w:rPr>
                <w:lang w:val="es"/>
              </w:rPr>
              <w:t xml:space="preserve">, una fila por vuelo × cabina. Ahí y solo ahí.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 la fila que se bloquea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normalización se justifica?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3FN estricta con tres excepciones nombradas</w:t>
            </w:r>
            <w:r>
              <w:rPr>
                <w:lang w:val="es"/>
              </w:rPr>
              <w:t xml:space="preserve">; el analítico es otro modelo (estrella) y se construye en el ETL</w:t>
            </w:r>
          </w:p>
        </w:tc>
      </w:tr>
    </w:tbl>
    <w:bookmarkEnd w:id="12"/>
    <w:bookmarkStart w:id="13" w:name="X6cc09eac639b60bd71261e0c1df1ac9420a7592"/>
    <w:p>
      <w:pPr>
        <w:pStyle w:val="Heading2"/>
      </w:pPr>
      <w:r>
        <w:rPr>
          <w:lang w:val="es"/>
        </w:rPr>
        <w:t xml:space="preserve">5.4 — Arquitectura del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¿Monolito o servicios separados?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Monolito modular, y el RNF que decide es el de concurrencia</w:t>
            </w:r>
            <w:r>
              <w:rPr>
                <w:lang w:val="es"/>
              </w:rPr>
              <w:t xml:space="preserve">: con una base única, retener N tramos es una transacción ACID; con servicios sería una saga con compensaciones, y durante la compensación el sistema está temporalmente sobrevendido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¿Cómo se evita la sobreventa concurrente?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Bloqueo pesimista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SELECT … FOR UPDATE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orden canónico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(hace imposible el abrazo mortal),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lock_timeout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3 s, y una restricción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CHECK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en la base como última línea de defensa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¿Cómo se integra el pago?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Se delega el instrumento, se conserva la máquina de estados de la venta.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El proveedor no sabe nada de inventario ni de retenciones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¿Misma API o API B2B separada?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Dos superficies, un dominio.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Separadas porque tienen ciclos de vida distintos; dominio compartido para no duplicar la regla de no-sobreventa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¿Relación con el pipeline de Big Data?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Regla dura: el pipeline nunca consulta el primario.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Lee de la réplica, en ventana nocturna, con extracción incremental por marca de agua</w:t>
            </w:r>
          </w:p>
        </w:tc>
      </w:tr>
    </w:tbl>
    <w:bookmarkEnd w:id="13"/>
    <w:bookmarkStart w:id="14" w:name="X8a70d89e46a278c3ef3adb11bb61244c8dcf18b"/>
    <w:p>
      <w:pPr>
        <w:pStyle w:val="Heading2"/>
      </w:pPr>
      <w:r>
        <w:rPr>
          <w:lang w:val="es"/>
        </w:rPr>
        <w:t xml:space="preserve">5.5 — Arquitectura del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¿SPA o renderizado en servidor?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Híbrido</w:t>
            </w:r>
            <w:r>
              <w:rPr>
                <w:lang w:val="es"/>
              </w:rPr>
              <w:t xml:space="preserve">: servidor para descubrimiento (el SEO es adquisición gratuita), cliente para el flujo de compra. Lo que importa comercialmente es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tiempo hasta el primer resultado visible</w:t>
            </w:r>
            <w:r>
              <w:rPr>
                <w:lang w:val="es"/>
              </w:rPr>
              <w:t xml:space="preserve">, no el de la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¿Cómo se notifica la pérdida de disponibilidad?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Tres capas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menor a mayor costo, y la clave es que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que ya retuvo no puede perder la silla</w:t>
            </w:r>
            <w:r>
              <w:rPr>
                <w:lang w:val="es"/>
              </w:rPr>
              <w:t xml:space="preserve">: la mejor forma de no dar una mala noticia es que no ocurra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¿Interfaz separada para agentes?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Sí.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El agente no es un pasajero con permisos extra,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 otro oficio</w:t>
            </w:r>
            <w:r>
              <w:rPr>
                <w:lang w:val="es"/>
              </w:rPr>
              <w:t xml:space="preserve">: vende 40 tiquetes al día para terceros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implica multi-moneda y multi-idioma?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Moneda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fija durante la reserva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(el frontend nunca convierte), rutas con prefijo por idioma (indexables), y horarios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siempre en hora local del aeropuerto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mostrar la del usuario hace perder vuelos</w:t>
            </w:r>
          </w:p>
        </w:tc>
      </w:tr>
    </w:tbl>
    <w:bookmarkEnd w:id="14"/>
    <w:bookmarkStart w:id="15" w:name="X00484c8d776fd0da60ad29ea6c7477266178c83"/>
    <w:p>
      <w:pPr>
        <w:pStyle w:val="Heading2"/>
      </w:pPr>
      <w:r>
        <w:rPr>
          <w:lang w:val="es"/>
        </w:rPr>
        <w:t xml:space="preserve">5.7 — AWS, ETL y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copiar a la analítica? ¿Tal cual o transformado?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Transformado.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Tres hechos, uno por cada pregunta de negocio del enunciado. Copiar tal cual reproduciría el problema del OLTP: seis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JOIN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por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¿El esquema analítico debe ser idéntico?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No.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3FN para escribir con integridad, estrella para leer agregando.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ETL es la traducción entre ambos mundos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¿Qué servicio implementa el ETL?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Glue Python Shell a 0,0625 DPU.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Descartados: Spark (mínimo 2 DPU, ~16× más caro), Lambda (límite duro de 15 min) y DMS (replica pero no transforma)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¿Cómo se conectan las bases al catálogo?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Conexión JDBC + rol IAM + red + crawler.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Lo que más falla es el security group</w:t>
            </w:r>
            <w:r>
              <w:rPr>
                <w:lang w:val="es"/>
              </w:rPr>
              <w:t xml:space="preserve">: Glue exige auto-referencia en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todos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los puertos, no solo en el 5432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¿Una vez, periódico o por eventos?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Diario a las 03:00, incremental.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el matiz que vale: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restricción no es económica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subir a cada 2 horas cuesta menos de 1 USD/mes; es de valor de negocio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Las cinco que conviene practicar en voz alta: 7, 8, 15, 17 y 18.</w:t>
      </w:r>
      <w:r>
        <w:rPr>
          <w:lang w:val="es"/>
        </w:rPr>
        <w:t xml:space="preserve"> </w:t>
      </w:r>
      <w:r>
        <w:rPr>
          <w:lang w:val="es"/>
        </w:rPr>
        <w:t xml:space="preserve">Son el núcleo de la concurrencia, que es donde la rúbrica pone el peso y donde el docente va a insistir. Si esas cinco están sólidas, el resto se sostiene solo.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arte-2--qué-hace-cada-componente-de-aws"/>
    <w:p>
      <w:pPr>
        <w:pStyle w:val="Heading1"/>
      </w:pPr>
      <w:r>
        <w:rPr>
          <w:lang w:val="es"/>
        </w:rPr>
        <w:t xml:space="preserve">Parte 2 — Qué hace cada componente de AWS</w:t>
      </w:r>
    </w:p>
    <w:p>
      <w:pPr>
        <w:pStyle w:val="FirstParagraph"/>
      </w:pPr>
      <w:r>
        <w:rPr>
          <w:lang w:val="es"/>
        </w:rPr>
        <w:t xml:space="preserve">La clave para entender esta arquitectura —y probablemente la pregunta que más distinga a quien entendió de quien memorizó— es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hay dos circuitos independientes</w:t>
      </w:r>
      <w:r>
        <w:rPr>
          <w:lang w:val="es"/>
        </w:rPr>
        <w:t xml:space="preserve">.</w:t>
      </w:r>
    </w:p>
    <w:bookmarkStart w:id="17" w:name="circuito-a--el-que-mueve-datos"/>
    <w:p>
      <w:pPr>
        <w:pStyle w:val="Heading2"/>
      </w:pPr>
      <w:r>
        <w:rPr>
          <w:lang w:val="es"/>
        </w:rPr>
        <w:t xml:space="preserve">Circuito A — el que mueve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Para qué se usó aquí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airline-oltp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PostgreSQL,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db.t3.small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base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transaccional</w:t>
            </w:r>
            <w:r>
              <w:rPr>
                <w:lang w:val="es"/>
              </w:rPr>
              <w:t xml:space="preserve">: esquema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airline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 las 26 tablas. Es la que atiende a la API, y donde ocurre el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SELECT … FOR UPDATE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sobre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flight_inventory</w:t>
            </w:r>
            <w:r>
              <w:rPr>
                <w:lang w:val="es"/>
              </w:rPr>
              <w:t xml:space="preserve">. Es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small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no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micro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porque soporta la carga de escritura concurrente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airline-olap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PostgreSQL,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db.t3.micro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base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analítica</w:t>
            </w:r>
            <w:r>
              <w:rPr>
                <w:lang w:val="es"/>
              </w:rPr>
              <w:t xml:space="preserve">: esquema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analytics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 el modelo estrella (5 dimensiones, 3 hechos, 3 vistas de negocio). Es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micro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Single-AZ a propósito: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 se cae no se detiene ninguna venta</w:t>
            </w:r>
            <w:r>
              <w:rPr>
                <w:lang w:val="es"/>
              </w:rPr>
              <w:t xml:space="preserve">, y el dato se reconstruye reejecutando el ETL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airline-etl-oltp-to-olap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 Job, Python Shell, 0,0625 DPU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El ETL propiamente dicho.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Lee de la transaccional, transforma a estrella y escribe en la analítica. Es lo único que mueve filas. Corrió en 112 s y cargó 157 tiquetes, 1.342 filas de ocupación y 122 de ciclo de 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airline-etl-nightly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 Trigger,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cron(0 8 * * ? *)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cron</w:t>
            </w:r>
            <w:r>
              <w:rPr>
                <w:lang w:val="es"/>
              </w:rPr>
              <w:t xml:space="preserve">: 03:00 hora de Colombia. Hace que el pipeline no dependa de que alguien se acuerde de lanzarlo</w:t>
            </w:r>
          </w:p>
        </w:tc>
      </w:tr>
    </w:tbl>
    <w:bookmarkEnd w:id="17"/>
    <w:bookmarkStart w:id="18" w:name="circuito-b--el-que-mueve-metadatos"/>
    <w:p>
      <w:pPr>
        <w:pStyle w:val="Heading2"/>
      </w:pPr>
      <w:r>
        <w:rPr>
          <w:lang w:val="es"/>
        </w:rPr>
        <w:t xml:space="preserve">Circuito B — el que mueve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metadatos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Para qué se usó aquí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airline-oltp-crawler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·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b/>
                <w:bCs/>
                <w:lang w:val="es"/>
              </w:rPr>
              <w:t xml:space="preserve">airline-olap-crawler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 Crawlers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conectan a cada base,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leen la estructura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(tablas, columnas, tipos) y la registran en el catálogo.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No mueven ni una sola fila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airline_oltp_catalog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·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b/>
                <w:bCs/>
                <w:lang w:val="es"/>
              </w:rPr>
              <w:t xml:space="preserve">airline_olap_catalog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 Data Catalog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inventario de metadatos</w:t>
            </w:r>
            <w:r>
              <w:rPr>
                <w:lang w:val="es"/>
              </w:rPr>
              <w:t xml:space="preserve">: 30 objetos del OLTP y 13 del OLAP.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 el requisito explícito del enunciado</w:t>
            </w:r>
            <w:r>
              <w:rPr>
                <w:lang w:val="es"/>
              </w:rPr>
              <w:t xml:space="preserve">: que ambas bases queden registradas y sus tablas sean visibles como metadatos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El punto que hay que tener clarísimo:</w:t>
      </w:r>
      <w:r>
        <w:rPr>
          <w:lang w:val="es"/>
        </w:rPr>
        <w:t xml:space="preserve"> </w:t>
      </w:r>
      <w:r>
        <w:rPr>
          <w:lang w:val="es"/>
        </w:rPr>
        <w:t xml:space="preserve">el ETL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lee del catálogo</w:t>
      </w:r>
      <w:r>
        <w:rPr>
          <w:lang w:val="es"/>
        </w:rPr>
        <w:t xml:space="preserve">. Los dos circuitos son independientes. Se podría borrar el catálogo entero y el ETL seguiría funcionando; se podría no correr nunca el job y el catálogo seguiría poblado.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Son dos requisitos distintos del enunciado que casualmente usan el mismo servicio.</w:t>
      </w:r>
      <w:r>
        <w:rPr>
          <w:lang w:val="es"/>
        </w:rPr>
        <w:t xml:space="preserve"> </w:t>
      </w:r>
      <w:r>
        <w:rPr>
          <w:lang w:val="es"/>
        </w:rPr>
        <w:t xml:space="preserve">Confundirlos es el error típico.</w:t>
      </w:r>
    </w:p>
    <w:bookmarkEnd w:id="18"/>
    <w:bookmarkStart w:id="19" w:name="X602e9cc06c93649f19e790a5d296ac42bda59a8"/>
    <w:p>
      <w:pPr>
        <w:pStyle w:val="Heading2"/>
      </w:pPr>
      <w:r>
        <w:rPr>
          <w:lang w:val="es"/>
        </w:rPr>
        <w:t xml:space="preserve">Las piezas de apoyo, que sirven a ambos circuitos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Para qué se usó aquí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Glue Connections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airline-oltp-conn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airline-olap-conn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Guardan endpoint, usuario y contraseña de cada base.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Las usan los dos circuitos pero para cosas distintas</w:t>
            </w:r>
            <w:r>
              <w:rPr>
                <w:lang w:val="es"/>
              </w:rPr>
              <w:t xml:space="preserve">: el crawler para leer metadatos, el job para leer y escribir datos. Y tienen un tercer efecto no obvio: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adjuntar una conexión a un job lo obliga a correr dentro de la VPC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por eso el job no tenía salida a internet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S3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airline-glue-scripts-…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 exige que el script del job viva en S3; no se puede pegar el código en el job. Guarda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scripts/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 el ETL 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wheels/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 el driver de PostgreSQL precompilado, que fue la solución al problema de la VPC sin 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Security Group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airline-db-sg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Hace dos trabajos a la vez: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aísla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las bases (solo aceptan conexiones desde dentro del grupo, nunca desde internet)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permite que Glue se hable consigo mismo</w:t>
            </w:r>
            <w:r>
              <w:rPr>
                <w:lang w:val="es"/>
              </w:rPr>
              <w:t xml:space="preserve">, porque sus tarjetas de red viven en ese mismo grupo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Rol IAM</w:t>
            </w:r>
            <w:r>
              <w:rPr>
                <w:b/>
                <w:bCs/>
                <w:lang w:val="es"/>
              </w:rPr>
              <w:t xml:space="preserve"> </w:t>
            </w:r>
            <w:r>
              <w:rPr>
                <w:rStyle w:val="VerbatimChar"/>
                <w:b/>
                <w:bCs/>
                <w:lang w:val="es"/>
              </w:rPr>
              <w:t xml:space="preserve">LabRole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identidad que Glue asume para leer S3, escribir en el catálogo y crear tarjetas de red. En producción sería un rol por componente con privilegio mínimo; el Learner Lab no permite crear roles, y queda declarado como desviación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/aws-glue/python-jobs/output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/error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para el job,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/aws-glue/crawlers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para los crawlers.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Sin esto habría sido imposible diagnosticar los seis fallos del despliegue</w:t>
            </w:r>
            <w:r>
              <w:rPr>
                <w:lang w:val="es"/>
              </w:rPr>
              <w:t xml:space="preserve">: el mensaje de que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pip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no alcanzaba PyPI salió de ahí</w:t>
            </w:r>
          </w:p>
        </w:tc>
      </w:tr>
    </w:tbl>
    <w:bookmarkEnd w:id="19"/>
    <w:bookmarkStart w:id="20" w:name="costo-de-cada-pieza"/>
    <w:p>
      <w:pPr>
        <w:pStyle w:val="Heading2"/>
      </w:pPr>
      <w:r>
        <w:rPr>
          <w:lang w:val="es"/>
        </w:rPr>
        <w:t xml:space="preserve">Costo de cada pieza</w:t>
      </w:r>
    </w:p>
    <w:p>
      <w:pPr>
        <w:pStyle w:val="FirstParagraph"/>
      </w:pPr>
      <w:r>
        <w:rPr>
          <w:lang w:val="es"/>
        </w:rPr>
        <w:t xml:space="preserve">Casi todo el gasto está en las bases encendidas, no en el cómputo del ETL: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USD/mes (escenario base)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% del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OLTP (instancia + almacenamiento)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28,58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OLAP (instancia + almacenamiento)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15,44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Glue: job + crawlers + catálogo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1,32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2,9%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S3 + CloudWatch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0,31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≈ 45,65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La conclusión contraintuitiva, y la más defendible:</w:t>
      </w:r>
      <w:r>
        <w:rPr>
          <w:lang w:val="es"/>
        </w:rPr>
        <w:t xml:space="preserve"> </w:t>
      </w:r>
      <w:r>
        <w:rPr>
          <w:lang w:val="es"/>
        </w:rPr>
        <w:t xml:space="preserve">multiplicar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frecuencia</w:t>
      </w:r>
      <w:r>
        <w:rPr>
          <w:lang w:val="es"/>
        </w:rPr>
        <w:t xml:space="preserve"> </w:t>
      </w:r>
      <w:r>
        <w:rPr>
          <w:lang w:val="es"/>
        </w:rPr>
        <w:t xml:space="preserve">del ETL por 10 sube la factura apenas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2%</w:t>
      </w:r>
      <w:r>
        <w:rPr>
          <w:lang w:val="es"/>
        </w:rPr>
        <w:t xml:space="preserve">, porque el costo está dominado por capacidad encendida, no por consumo. Si el negocio pidiera datos más frescos, se puede pasar de diario a cada dos horas por menos de un dólar al mes.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decisión de correr el ETL una vez al día no es económica: es de valor de negocio.</w:t>
      </w:r>
      <w:r>
        <w:rPr>
          <w:lang w:val="es"/>
        </w:rPr>
        <w:t xml:space="preserve"> </w:t>
      </w:r>
      <w:r>
        <w:rPr>
          <w:lang w:val="es"/>
        </w:rPr>
        <w:t xml:space="preserve">Confundir ambas cosas llevaría a negar una mejora que es casi gratis.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9AA5B1" w:space="0" w:sz="4" w:val="single"/>
        <w:left w:color="9AA5B1" w:space="0" w:sz="4" w:val="single"/>
        <w:bottom w:color="9AA5B1" w:space="0" w:sz="4" w:val="single"/>
        <w:right w:color="9AA5B1" w:space="0" w:sz="4" w:val="single"/>
        <w:insideH w:color="CBD2D9" w:space="0" w:sz="4" w:val="single"/>
        <w:insideV w:color="CBD2D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E4E7EB" w:val="clear"/>
        <w:tcBorders>
          <w:bottom w:color="616E7C" w:space="0" w:sz="12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de sustentación</dc:title>
  <dc:creator/>
  <dc:language>es</dc:language>
  <cp:keywords/>
  <dcterms:created xsi:type="dcterms:W3CDTF">2026-09-11T01:55:58Z</dcterms:created>
  <dcterms:modified xsi:type="dcterms:W3CDTF">2026-09-11T01:55:58Z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Las 30 preguntas guía y los componentes de AWS — Parcial 1, Big Data e Ingeniería de Datos</vt:lpwstr>
  </property>
</Properties>
</file>