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A0A0A"/>
          </w:tcPr>
          <w:p>
            <w:pPr>
              <w:jc w:val="center"/>
            </w:pPr>
            <w:r>
              <w:rPr>
                <w:rFonts w:ascii="Orbitron" w:hAnsi="Orbitron"/>
                <w:b/>
                <w:color w:val="FFFFFF"/>
                <w:sz w:val="68"/>
              </w:rPr>
              <w:t>DISOL</w:t>
            </w:r>
            <w:r>
              <w:rPr>
                <w:rFonts w:ascii="Orbitron" w:hAnsi="Orbitron"/>
                <w:b/>
                <w:color w:val="E5092A"/>
                <w:sz w:val="68"/>
              </w:rPr>
              <w:t xml:space="preserve"> MOTORS</w:t>
            </w:r>
          </w:p>
          <w:p>
            <w:pPr>
              <w:jc w:val="center"/>
            </w:pPr>
            <w:r>
              <w:rPr>
                <w:rFonts w:ascii="Orbitron" w:hAnsi="Orbitron"/>
                <w:color w:val="B8B8B8"/>
                <w:sz w:val="20"/>
              </w:rPr>
              <w:t>SISTEMA WEB DE GESTIÓN AUTOMOTRIZ</w:t>
            </w:r>
          </w:p>
        </w:tc>
      </w:tr>
    </w:tbl>
    <w:p/>
    <w:p>
      <w:pPr>
        <w:jc w:val="center"/>
      </w:pPr>
      <w:r>
        <w:rPr>
          <w:rFonts w:ascii="Orbitron" w:hAnsi="Orbitron"/>
          <w:b/>
          <w:color w:val="E5092A"/>
          <w:sz w:val="50"/>
        </w:rPr>
        <w:t>ESPECIFICACIÓN DE REQUISITOS DE SOFTWARE</w:t>
      </w:r>
    </w:p>
    <w:p>
      <w:pPr>
        <w:jc w:val="center"/>
      </w:pPr>
      <w:r>
        <w:rPr>
          <w:rFonts w:ascii="Aptos" w:hAnsi="Aptos"/>
          <w:color w:val="2A2A2A"/>
          <w:sz w:val="24"/>
        </w:rPr>
        <w:t>Documento operativo de requisitos, trazabilidad y criterios de aceptación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51515"/>
            <w:vAlign w:val="cente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8"/>
              </w:rPr>
              <w:t>1.0</w:t>
            </w:r>
          </w:p>
        </w:tc>
      </w:tr>
      <w:tr>
        <w:tc>
          <w:tcPr>
            <w:tcW w:type="dxa" w:w="5040"/>
            <w:shd w:fill="151515"/>
            <w:vAlign w:val="cente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8"/>
              </w:rPr>
              <w:t>04/09/2026</w:t>
            </w:r>
          </w:p>
        </w:tc>
      </w:tr>
      <w:tr>
        <w:tc>
          <w:tcPr>
            <w:tcW w:type="dxa" w:w="5040"/>
            <w:shd w:fill="151515"/>
            <w:vAlign w:val="cente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8"/>
              </w:rPr>
              <w:t>Documento consolidado para desarrollo y validación</w:t>
            </w:r>
          </w:p>
        </w:tc>
      </w:tr>
      <w:tr>
        <w:tc>
          <w:tcPr>
            <w:tcW w:type="dxa" w:w="5040"/>
            <w:shd w:fill="151515"/>
            <w:vAlign w:val="cente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8"/>
              </w:rPr>
              <w:t>Equipo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8"/>
              </w:rPr>
              <w:t>Yan Sneider Plata Serrano · Joseph Camilo Zapata Mejia · Kevin Jean Pierre Barreto Solano</w:t>
            </w:r>
          </w:p>
        </w:tc>
      </w:tr>
    </w:tbl>
    <w:p>
      <w:r>
        <w:br w:type="page"/>
      </w:r>
    </w:p>
    <w:p>
      <w:pPr>
        <w:pStyle w:val="Heading1"/>
      </w:pPr>
      <w:r>
        <w:t>1. Identificación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04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7"/>
              </w:rPr>
              <w:t>Nombre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7"/>
              </w:rPr>
              <w:t>Sistema Web de Gestión Automotriz DISOL MOTORS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7"/>
              </w:rPr>
              <w:t>Equipo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7"/>
              </w:rPr>
              <w:t>Yan Sneider Plata Serrano; Joseph Camilo Zapata Mejia; Kevin Jean Pierre Barreto Solano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7"/>
              </w:rPr>
              <w:t>Fecha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7"/>
              </w:rPr>
              <w:t>04/09/2026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7"/>
              </w:rPr>
              <w:t>Base documental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7"/>
              </w:rPr>
              <w:t>Documento IEEE 830 aportado para DISOL MOTORS</w:t>
            </w:r>
          </w:p>
        </w:tc>
      </w:tr>
    </w:tbl>
    <w:p>
      <w:pPr>
        <w:spacing w:after="0"/>
      </w:pPr>
    </w:p>
    <w:p>
      <w:pPr>
        <w:pStyle w:val="Heading1"/>
      </w:pPr>
      <w:r>
        <w:t>2. Análisis de requisitos</w:t>
      </w:r>
    </w:p>
    <w:p>
      <w:pPr>
        <w:pStyle w:val="Heading2"/>
      </w:pPr>
      <w:r>
        <w:t>2.1 Problema</w:t>
      </w:r>
    </w:p>
    <w:p>
      <w:r>
        <w:t>La gestión actual de DISOL MOTORS presenta registros y facturas físicos y una base de datos poco efectiva o nula, situación que retrasa trabajos y dificulta la atención y el seguimiento de reparaciones.</w:t>
      </w:r>
    </w:p>
    <w:p>
      <w:pPr>
        <w:pStyle w:val="Heading2"/>
      </w:pPr>
      <w:r>
        <w:t>2.2 Necesidad</w:t>
      </w:r>
    </w:p>
    <w:p>
      <w:r>
        <w:t>Centralizar en una plataforma web la información y operaciones de inventario, catálogo, clientes, vehículos, citas, órdenes, compras, pagos y facturación, con acceso diferenciado por rol.</w:t>
      </w:r>
    </w:p>
    <w:p>
      <w:pPr>
        <w:pStyle w:val="Heading2"/>
      </w:pPr>
      <w:r>
        <w:t>2.3 Objetivo general</w:t>
      </w:r>
    </w:p>
    <w:p>
      <w:r>
        <w:t>Diseñar e implementar un aplicativo web con base de datos integrada que automatice la gestión de inventario, reparaciones, venta de repuestos y atención al cliente.</w:t>
      </w:r>
    </w:p>
    <w:p>
      <w:pPr>
        <w:pStyle w:val="Heading2"/>
      </w:pPr>
      <w:r>
        <w:t>2.4 Alcance</w:t>
      </w:r>
    </w:p>
    <w:p>
      <w:pPr>
        <w:pStyle w:val="ListBullet"/>
        <w:spacing w:after="40"/>
      </w:pPr>
      <w:r>
        <w:t>Autenticación y roles.</w:t>
      </w:r>
    </w:p>
    <w:p>
      <w:pPr>
        <w:pStyle w:val="ListBullet"/>
        <w:spacing w:after="40"/>
      </w:pPr>
      <w:r>
        <w:t>Gestión de vehículos.</w:t>
      </w:r>
    </w:p>
    <w:p>
      <w:pPr>
        <w:pStyle w:val="ListBullet"/>
        <w:spacing w:after="40"/>
      </w:pPr>
      <w:r>
        <w:t>Inventario y catálogo de repuestos.</w:t>
      </w:r>
    </w:p>
    <w:p>
      <w:pPr>
        <w:pStyle w:val="ListBullet"/>
        <w:spacing w:after="40"/>
      </w:pPr>
      <w:r>
        <w:t>Carrito, compras y pagos mediante Wompi.</w:t>
      </w:r>
    </w:p>
    <w:p>
      <w:pPr>
        <w:pStyle w:val="ListBullet"/>
        <w:spacing w:after="40"/>
      </w:pPr>
      <w:r>
        <w:t>Citas.</w:t>
      </w:r>
    </w:p>
    <w:p>
      <w:pPr>
        <w:pStyle w:val="ListBullet"/>
        <w:spacing w:after="40"/>
      </w:pPr>
      <w:r>
        <w:t>Órdenes de trabajo y seguimiento de reparaciones.</w:t>
      </w:r>
    </w:p>
    <w:p>
      <w:pPr>
        <w:pStyle w:val="ListBullet"/>
        <w:spacing w:after="40"/>
      </w:pPr>
      <w:r>
        <w:t>Facturación y consulta de operaciones.</w:t>
      </w:r>
    </w:p>
    <w:p>
      <w:pPr>
        <w:pStyle w:val="ListBullet"/>
        <w:spacing w:after="40"/>
      </w:pPr>
      <w:r>
        <w:t>Paneles administrativo y mecánico.</w:t>
      </w:r>
    </w:p>
    <w:p>
      <w:pPr>
        <w:pStyle w:val="ListBullet"/>
        <w:spacing w:after="40"/>
      </w:pPr>
      <w:r>
        <w:t>Solicitud de grúa contemplada en el proyecto, pendiente de especificación detallada.</w:t>
      </w:r>
    </w:p>
    <w:p>
      <w:pPr>
        <w:pStyle w:val="Heading2"/>
      </w:pPr>
      <w:r>
        <w:t>2.5 Stakeholders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6"/>
              </w:rPr>
              <w:t>Stakeholder</w:t>
            </w:r>
          </w:p>
        </w:tc>
        <w:tc>
          <w:tcPr>
            <w:tcW w:type="dxa" w:w="504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6"/>
              </w:rPr>
              <w:t>Necesidad/Interés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DISOL MOTORS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Centralizar y controlar la operación.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Clientes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Gestionar vehículos, citas, compras, pagos y consultar servicios.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Administrador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Controlar información y operaciones según permisos.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Mecánico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Consultar citas/órdenes asignadas y actualizar reparaciones.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Proveedores tecnológicos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Mantener disponibles los servicios de datos y pagos.</w:t>
            </w:r>
          </w:p>
        </w:tc>
      </w:tr>
    </w:tbl>
    <w:p>
      <w:pPr>
        <w:spacing w:after="0"/>
      </w:pPr>
    </w:p>
    <w:p>
      <w:pPr>
        <w:pStyle w:val="Heading1"/>
      </w:pPr>
      <w:r>
        <w:t>3. Matriz de actores y procesos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504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6"/>
              </w:rPr>
              <w:t>Procesos principales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Cliente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Autenticación; vehículos; catálogo; carrito; pagos; citas; consulta de órdenes/servicios; cuenta; grúa.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Administrador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Inventario; productos; citas; órdenes; consulta/control operativo; facturación/ventas según información disponible.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Mecánico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6"/>
              </w:rPr>
              <w:t>Consulta de citas asignadas; consulta y actualización de órdenes asignadas.</w:t>
            </w:r>
          </w:p>
        </w:tc>
      </w:tr>
    </w:tbl>
    <w:p>
      <w:pPr>
        <w:spacing w:after="0"/>
      </w:pPr>
    </w:p>
    <w:p>
      <w:pPr>
        <w:pStyle w:val="Heading1"/>
      </w:pPr>
      <w:r>
        <w:t>4. Catálogo de funcionalidades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504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5"/>
              </w:rPr>
              <w:t>Funcionalidades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Autenticación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Registro, inicio de sesión y control de roles.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Vehículos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Registro y consulta de vehículos asociados a clientes.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Inventario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CRUD de productos, existencias y clasificación.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Catálogo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Consulta, búsqueda, paginación y disponibilidad.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Carrito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Agregar, quitar, modificar cantidades, subtotal y total.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Pagos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Inicio y registro de pagos electrónicos con Wompi.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Citas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Crear, consultar, reprogramar y cancelar según rol/permisos.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Órdenes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Crear, consultar, actualizar y hacer seguimiento.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Facturación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Generar y consultar información asociada a operaciones.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Cuenta/Historial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Consultar cuenta, vehículos, órdenes y servicios.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Grúa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Solicitud en línea contemplada; detalle pendiente.</w:t>
            </w:r>
          </w:p>
        </w:tc>
      </w:tr>
    </w:tbl>
    <w:p>
      <w:pPr>
        <w:spacing w:after="0"/>
      </w:pPr>
    </w:p>
    <w:p>
      <w:pPr>
        <w:pStyle w:val="Heading1"/>
      </w:pPr>
      <w:r>
        <w:t>5. Requisitos funcionales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16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2016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Actor</w:t>
            </w:r>
          </w:p>
        </w:tc>
        <w:tc>
          <w:tcPr>
            <w:tcW w:type="dxa" w:w="2016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016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Aceptación</w:t>
            </w:r>
          </w:p>
        </w:tc>
      </w:tr>
      <w:tr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RF-001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Registro e inicio de sesión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Cliente / usuario interno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Alta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Se permite acceso únicamente cuando las credenciales sean válidas y el rol determine las funciones disponibles.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RF-002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Gestión de vehículos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Cliente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Alta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El vehículo registrado aparece en la cuenta del cliente.</w:t>
            </w:r>
          </w:p>
        </w:tc>
      </w:tr>
      <w:tr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RF-003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Gestión de inventario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Administrador / autorizado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Alta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CRUD ejecutado y consulta refleja el estado actualizado.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RF-004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Catálogo y búsqueda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Cliente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Alta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La búsqueda devuelve productos que coinciden con el criterio y permite navegar páginas.</w:t>
            </w:r>
          </w:p>
        </w:tc>
      </w:tr>
      <w:tr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RF-005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Carrito de compras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Cliente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Alta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Los productos y cantidades seleccionados se reflejan en el subtotal y total.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RF-006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Pago electrónico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Cliente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Alta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El sistema registra el resultado informado por la integración.</w:t>
            </w:r>
          </w:p>
        </w:tc>
      </w:tr>
      <w:tr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RF-007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Gestión de citas del cliente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Cliente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Alta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La operación se refleja en la cita existente y respeta disponibilidad.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RF-008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Consulta de citas del mecánico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Mecánico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Media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El mecánico no obtiene permisos de cancelación/reprogramación.</w:t>
            </w:r>
          </w:p>
        </w:tc>
      </w:tr>
      <w:tr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RF-009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Órdenes de trabajo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Administrador / Mecánico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Alta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La orden queda asociada al vehículo/cliente y conserva información del servicio.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RF-010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Consulta y actualización de órdenes por mecánico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Mecánico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Alta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Solo se actualizan órdenes asignadas al mecánico.</w:t>
            </w:r>
          </w:p>
        </w:tc>
      </w:tr>
      <w:tr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RF-011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Facturación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Cliente / Administrador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Media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La facturación queda asociada a la operación correspondiente.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RF-012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Cuenta e historial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Cliente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Media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El cliente solo consulta información asociada a su cuenta.</w:t>
            </w:r>
          </w:p>
        </w:tc>
      </w:tr>
      <w:tr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RF-013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Solicitud de grúa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Cliente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Media</w:t>
            </w:r>
          </w:p>
        </w:tc>
        <w:tc>
          <w:tcPr>
            <w:tcW w:type="dxa" w:w="2016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El mecanismo exacto, campos, estados y reglas de la grúa quedan pendientes de especificación en la fuente.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RF-014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Consulta/control administrativo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Administrador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Alta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Las funciones administrativas solo están disponibles con el rol autorizado.</w:t>
            </w:r>
          </w:p>
        </w:tc>
      </w:tr>
    </w:tbl>
    <w:p>
      <w:pPr>
        <w:spacing w:after="0"/>
      </w:pPr>
    </w:p>
    <w:p>
      <w:pPr>
        <w:pStyle w:val="Heading1"/>
      </w:pPr>
      <w:r>
        <w:t>6. Requisitos no funcionales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5"/>
              </w:rPr>
              <w:t>ID</w:t>
            </w:r>
          </w:p>
        </w:tc>
        <w:tc>
          <w:tcPr>
            <w:tcW w:type="dxa" w:w="336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5"/>
              </w:rPr>
              <w:t>Categoría</w:t>
            </w:r>
          </w:p>
        </w:tc>
        <w:tc>
          <w:tcPr>
            <w:tcW w:type="dxa" w:w="336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5"/>
              </w:rPr>
              <w:t>Criterio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RNF-001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Usabilidad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La interfaz debe ser clara, intuitiva y coherente con la identidad visual de DISOL MOTORS.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RNF-002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Rendimiento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Operaciones habituales deben responder en tiempo adecuado; como objetivo de diseño, consultas y acciones comunes procuran mantenerse por debajo de 5 segundos en condiciones normales.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RNF-003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Disponibilidad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El sistema debe mantenerse disponible durante los horarios de operación definidos, considerando servicios externos.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RNF-004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Seguridad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Autenticación y acceso restringido según cliente, administrador y mecánico.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RNF-005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Portabilidad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Acceso desde navegadores web modernos sin instalación adicional.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RNF-006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Mantenibilidad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Separación modular entre frontend, backend y persistencia.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RNF-007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Responsividad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Interfaz adaptable a móviles, tabletas y computadores.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RNF-008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Capacidad inicial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Soportar al menos 3 usuarios concurrentes durante las pruebas iniciales sin degradación significativa.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RNF-009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Optimización de consultas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Búsquedas de productos, clientes, vehículos, citas y órdenes deben estar optimizadas para la carga definida.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RNF-010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Protección de datos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El tratamiento de datos personales debe cumplir normativa colombiana aplicable y políticas de privacidad.</w:t>
            </w:r>
          </w:p>
        </w:tc>
      </w:tr>
    </w:tbl>
    <w:p>
      <w:pPr>
        <w:spacing w:after="0"/>
      </w:pPr>
    </w:p>
    <w:p>
      <w:pPr>
        <w:pStyle w:val="Heading1"/>
      </w:pPr>
      <w:r>
        <w:t>7. Reglas de negocio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5"/>
              </w:rPr>
              <w:t>ID</w:t>
            </w:r>
          </w:p>
        </w:tc>
        <w:tc>
          <w:tcPr>
            <w:tcW w:type="dxa" w:w="504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RN-001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Control por rol — Las funciones administrativas y de mecánico requieren autenticación y permisos diferenciados.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RN-002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Inventario autorizado — Las operaciones de inventario solo pueden ser realizadas por usuarios internos autorizados.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RN-003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Disponibilidad de citas — El agendamiento debe respetar horarios y disponibilidad configurados por DISOL MOTORS.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RN-004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Citas del cliente — El cliente gestiona sus propias citas; el administrador puede consultar, reprogramar y cancelar según permisos.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RN-005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Rol del mecánico — El mecánico consulta citas asignadas y no gestiona cancelaciones o reprogramaciones.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RN-006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Stock para venta — La venta de repuestos depende de la disponibilidad registrada en inventario.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RN-007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Pagos — Los pagos electrónicos dependen de Wompi y de las condiciones de dicho proveedor.</w:t>
            </w:r>
          </w:p>
        </w:tc>
      </w:tr>
      <w:tr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RN-008</w:t>
            </w:r>
          </w:p>
        </w:tc>
        <w:tc>
          <w:tcPr>
            <w:tcW w:type="dxa" w:w="504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Trazabilidad — Las órdenes y servicios deben conservar información asociada al vehículo y cliente para facilitar el seguimiento.</w:t>
            </w:r>
          </w:p>
        </w:tc>
      </w:tr>
      <w:tr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RN-009</w:t>
            </w:r>
          </w:p>
        </w:tc>
        <w:tc>
          <w:tcPr>
            <w:tcW w:type="dxa" w:w="504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Datos personales — El tratamiento de datos debe sujetarse a la normativa colombiana aplicable y políticas de privacidad de la empresa.</w:t>
            </w:r>
          </w:p>
        </w:tc>
      </w:tr>
    </w:tbl>
    <w:p>
      <w:pPr>
        <w:spacing w:after="0"/>
      </w:pPr>
    </w:p>
    <w:p>
      <w:pPr>
        <w:pStyle w:val="Heading1"/>
      </w:pPr>
      <w:r>
        <w:t>8. Trazabilidad requisitos → historias → casos de 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5"/>
              </w:rPr>
              <w:t>Historia</w:t>
            </w:r>
          </w:p>
        </w:tc>
        <w:tc>
          <w:tcPr>
            <w:tcW w:type="dxa" w:w="336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5"/>
              </w:rPr>
              <w:t>Requisitos</w:t>
            </w:r>
          </w:p>
        </w:tc>
        <w:tc>
          <w:tcPr>
            <w:tcW w:type="dxa" w:w="336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5"/>
              </w:rPr>
              <w:t>Casos de uso relacionados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HU-01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RF-001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CU-001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HU-02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RF-002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CU-002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HU-03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RF-004, RF-005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CU-003, CU-004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HU-04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RF-006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CU-005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HU-05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RF-007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CU-006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HU-06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RF-008, RF-010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CU-007, CU-008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HU-07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RF-003, RF-007, RF-009, RF-014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CU-006, CU-008, CU-012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HU-08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RF-011, RF-014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5"/>
              </w:rPr>
              <w:t>CU-009, CU-012</w:t>
            </w:r>
          </w:p>
        </w:tc>
      </w:tr>
    </w:tbl>
    <w:p>
      <w:pPr>
        <w:spacing w:after="0"/>
      </w:pPr>
    </w:p>
    <w:p>
      <w:pPr>
        <w:pStyle w:val="Heading1"/>
      </w:pPr>
      <w:r>
        <w:t>9. Criterios generales de aceptación</w:t>
      </w:r>
    </w:p>
    <w:p>
      <w:pPr>
        <w:pStyle w:val="ListBullet"/>
        <w:spacing w:after="40"/>
      </w:pPr>
      <w:r>
        <w:t>Cada función debe respetar el rol autenticado.</w:t>
      </w:r>
    </w:p>
    <w:p>
      <w:pPr>
        <w:pStyle w:val="ListBullet"/>
        <w:spacing w:after="40"/>
      </w:pPr>
      <w:r>
        <w:t>Los datos modificados deben persistir y reflejarse en las consultas posteriores.</w:t>
      </w:r>
    </w:p>
    <w:p>
      <w:pPr>
        <w:pStyle w:val="ListBullet"/>
        <w:spacing w:after="40"/>
      </w:pPr>
      <w:r>
        <w:t>Las ventas deben depender de la disponibilidad registrada.</w:t>
      </w:r>
    </w:p>
    <w:p>
      <w:pPr>
        <w:pStyle w:val="ListBullet"/>
        <w:spacing w:after="40"/>
      </w:pPr>
      <w:r>
        <w:t>Las citas deben respetar horarios y disponibilidad configurados.</w:t>
      </w:r>
    </w:p>
    <w:p>
      <w:pPr>
        <w:pStyle w:val="ListBullet"/>
        <w:spacing w:after="40"/>
      </w:pPr>
      <w:r>
        <w:t>Las órdenes deben conservar asociación con cliente y vehículo.</w:t>
      </w:r>
    </w:p>
    <w:p>
      <w:pPr>
        <w:pStyle w:val="ListBullet"/>
        <w:spacing w:after="40"/>
      </w:pPr>
      <w:r>
        <w:t>Los pagos deben registrar el resultado de la integración con Wompi.</w:t>
      </w:r>
    </w:p>
    <w:p>
      <w:pPr>
        <w:pStyle w:val="ListBullet"/>
        <w:spacing w:after="40"/>
      </w:pPr>
      <w:r>
        <w:t>La interfaz debe conservar la identidad visual de DISOL MOTORS y adaptarse a móviles, tabletas y computadores.</w:t>
      </w:r>
    </w:p>
    <w:p>
      <w:pPr>
        <w:pStyle w:val="ListBullet"/>
        <w:spacing w:after="40"/>
      </w:pPr>
      <w:r>
        <w:t>Las operaciones comunes deben procurar mantenerse por debajo de 5 segundos bajo condiciones normales.</w:t>
      </w:r>
    </w:p>
    <w:p>
      <w:pPr>
        <w:pStyle w:val="Heading1"/>
      </w:pPr>
      <w:r>
        <w:t>10. Requisitos de información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Dominio</w:t>
            </w:r>
          </w:p>
        </w:tc>
        <w:tc>
          <w:tcPr>
            <w:tcW w:type="dxa" w:w="336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Información explícitamente identificada en la fuente</w:t>
            </w:r>
          </w:p>
        </w:tc>
        <w:tc>
          <w:tcPr>
            <w:tcW w:type="dxa" w:w="336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Información que requiere definición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Usuario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Registro, credenciales, rol.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Campos completos, políticas de contraseña y recuperación.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Vehículo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Placa, marca, modelo, asociación al cliente.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Identificador, reglas de unicidad y demás campos.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Producto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Nombre, descripción, imagen, referencia, precio, disponibilidad; categoría/código/búsqueda.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Campos completos, stock mínimo, reglas de actualización.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Cita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Fecha, hora, cliente, vehículo/servicio según contexto.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Estados, duración, horarios exactos, reglas de cancelación.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Orden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Vehículo, cliente, servicio, estado, seguimiento, mecánico asignado.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Campos, estados y transiciones detalladas.</w:t>
            </w:r>
          </w:p>
        </w:tc>
      </w:tr>
      <w:tr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Pago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Resultado de operación Wompi.</w:t>
            </w:r>
          </w:p>
        </w:tc>
        <w:tc>
          <w:tcPr>
            <w:tcW w:type="dxa" w:w="336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Identificadores, estados y conciliación.</w:t>
            </w:r>
          </w:p>
        </w:tc>
      </w:tr>
      <w:tr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Factura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Información asociada a operación.</w:t>
            </w:r>
          </w:p>
        </w:tc>
        <w:tc>
          <w:tcPr>
            <w:tcW w:type="dxa" w:w="336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Estructura tributaria y campos.</w:t>
            </w:r>
          </w:p>
        </w:tc>
      </w:tr>
    </w:tbl>
    <w:p>
      <w:pPr>
        <w:spacing w:after="0"/>
      </w:pPr>
    </w:p>
    <w:p>
      <w:pPr>
        <w:pStyle w:val="Heading1"/>
      </w:pPr>
      <w:r>
        <w:t>11. Riesgos y vacíos de requisitos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2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Riesgo/Vacío</w:t>
            </w:r>
          </w:p>
        </w:tc>
        <w:tc>
          <w:tcPr>
            <w:tcW w:type="dxa" w:w="252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Impacto</w:t>
            </w:r>
          </w:p>
        </w:tc>
        <w:tc>
          <w:tcPr>
            <w:tcW w:type="dxa" w:w="2520"/>
            <w:shd w:fill="0A0A0A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Orbitron" w:hAnsi="Orbitron"/>
                <w:b/>
                <w:color w:val="FFFFFF"/>
                <w:sz w:val="14"/>
              </w:rPr>
              <w:t>Acción</w:t>
            </w:r>
          </w:p>
        </w:tc>
      </w:tr>
      <w:tr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REQ-01</w:t>
            </w:r>
          </w:p>
        </w:tc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Rol empleado no definido frente a mecánico.</w:t>
            </w:r>
          </w:p>
        </w:tc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Permisos ambiguos.</w:t>
            </w:r>
          </w:p>
        </w:tc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Validar roles con DISOL MOTORS.</w:t>
            </w:r>
          </w:p>
        </w:tc>
      </w:tr>
      <w:tr>
        <w:tc>
          <w:tcPr>
            <w:tcW w:type="dxa" w:w="252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REQ-02</w:t>
            </w:r>
          </w:p>
        </w:tc>
        <w:tc>
          <w:tcPr>
            <w:tcW w:type="dxa" w:w="252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Grúa sin flujo detallado.</w:t>
            </w:r>
          </w:p>
        </w:tc>
        <w:tc>
          <w:tcPr>
            <w:tcW w:type="dxa" w:w="252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No se puede cerrar diseño funcional.</w:t>
            </w:r>
          </w:p>
        </w:tc>
        <w:tc>
          <w:tcPr>
            <w:tcW w:type="dxa" w:w="252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Definir datos, cobertura, estados y responsables.</w:t>
            </w:r>
          </w:p>
        </w:tc>
      </w:tr>
      <w:tr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REQ-03</w:t>
            </w:r>
          </w:p>
        </w:tc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Recuperación de contraseña mencionada en costos, no en RF.</w:t>
            </w:r>
          </w:p>
        </w:tc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Función inconsistente.</w:t>
            </w:r>
          </w:p>
        </w:tc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Confirmar inclusión.</w:t>
            </w:r>
          </w:p>
        </w:tc>
      </w:tr>
      <w:tr>
        <w:tc>
          <w:tcPr>
            <w:tcW w:type="dxa" w:w="252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REQ-04</w:t>
            </w:r>
          </w:p>
        </w:tc>
        <w:tc>
          <w:tcPr>
            <w:tcW w:type="dxa" w:w="252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Facturación sin estructura detallada.</w:t>
            </w:r>
          </w:p>
        </w:tc>
        <w:tc>
          <w:tcPr>
            <w:tcW w:type="dxa" w:w="252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Riesgo de implementación incompleta.</w:t>
            </w:r>
          </w:p>
        </w:tc>
        <w:tc>
          <w:tcPr>
            <w:tcW w:type="dxa" w:w="2520"/>
            <w:shd w:fill="FFFFFF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Definir campos y reglas.</w:t>
            </w:r>
          </w:p>
        </w:tc>
      </w:tr>
      <w:tr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REQ-05</w:t>
            </w:r>
          </w:p>
        </w:tc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Diagramas antiguos no coinciden completamente con módulos actuales.</w:t>
            </w:r>
          </w:p>
        </w:tc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Baja trazabilidad.</w:t>
            </w:r>
          </w:p>
        </w:tc>
        <w:tc>
          <w:tcPr>
            <w:tcW w:type="dxa" w:w="2520"/>
            <w:shd w:fill="F4F4F4"/>
            <w:vAlign w:val="center"/>
            <w:tcBorders>
              <w:top w:val="single" w:sz="4" w:color="A0A0A0"/>
              <w:left w:val="single" w:sz="4" w:color="A0A0A0"/>
              <w:bottom w:val="single" w:sz="4" w:color="A0A0A0"/>
              <w:right w:val="single" w:sz="4" w:color="A0A0A0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0A0A"/>
                <w:sz w:val="14"/>
              </w:rPr>
              <w:t>Rediseñar UML con la versión vigente.</w:t>
            </w:r>
          </w:p>
        </w:tc>
      </w:tr>
    </w:tbl>
    <w:p>
      <w:pPr>
        <w:spacing w:after="0"/>
      </w:pPr>
    </w:p>
    <w:p>
      <w:pPr>
        <w:pStyle w:val="Heading1"/>
      </w:pPr>
      <w:r>
        <w:t>12. Identidad visual documental</w:t>
      </w:r>
    </w:p>
    <w:p>
      <w:r>
        <w:t>Todos los documentos del proyecto deben mantener la identidad visual observada en los prototipos del documento fuente: fondo oscuro/negro, acentos rojos, tipografía de apariencia tecnológica, tarjetas y paneles oscuros, texto claro y elementos de acción destacados en rojo. Esta identidad se aplica aquí mediante encabezados negros, acentos rojos, tablas oscuras y tipografía Orbitron en títulos.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B8B8B8"/>
        <w:sz w:val="16"/>
      </w:rPr>
      <w:t xml:space="preserve">DISOL MOTORS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776"/>
      <w:gridCol w:w="2304"/>
    </w:tblGrid>
    <w:tr>
      <w:tc>
        <w:tcPr>
          <w:tcW w:type="dxa" w:w="5040"/>
          <w:shd w:fill="0A0A0A"/>
          <w:vAlign w:val="center"/>
        </w:tcPr>
        <w:p>
          <w:pPr>
            <w:spacing w:after="0"/>
          </w:pPr>
          <w:r/>
          <w:r>
            <w:rPr>
              <w:rFonts w:ascii="Orbitron" w:hAnsi="Orbitron"/>
              <w:b/>
              <w:color w:val="FFFFFF"/>
              <w:sz w:val="18"/>
            </w:rPr>
            <w:t>DISOL MOTORS</w:t>
          </w:r>
        </w:p>
      </w:tc>
      <w:tc>
        <w:tcPr>
          <w:tcW w:type="dxa" w:w="5040"/>
          <w:shd w:fill="E5092A"/>
          <w:vAlign w:val="center"/>
        </w:tcPr>
        <w:p>
          <w:pPr>
            <w:spacing w:after="0"/>
          </w:pPr>
          <w:r/>
          <w:r>
            <w:rPr>
              <w:rFonts w:ascii="Orbitron" w:hAnsi="Orbitron"/>
              <w:b/>
              <w:color w:val="FFFFFF"/>
              <w:sz w:val="16"/>
            </w:rPr>
            <w:t>DOCUMENTACIÓN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A0A0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Orbitron" w:hAnsi="Orbitron"/>
      <w:b/>
      <w:bCs/>
      <w:color w:val="E509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Orbitron" w:hAnsi="Orbitron"/>
      <w:b/>
      <w:bCs/>
      <w:color w:val="E509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Orbitron" w:hAnsi="Orbitron"/>
      <w:b/>
      <w:bCs/>
      <w:color w:val="0A0A0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Orbitron" w:hAnsi="Orbitron"/>
      <w:b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MLabel">
    <w:name w:val="DM Label"/>
    <w:rPr>
      <w:rFonts w:ascii="Orbitron" w:hAnsi="Orbitron"/>
      <w:b/>
      <w:color w:val="E509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