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0A0A"/>
          </w:tcPr>
          <w:p>
            <w:pPr>
              <w:jc w:val="center"/>
            </w:pPr>
            <w:r>
              <w:rPr>
                <w:rFonts w:ascii="Orbitron" w:hAnsi="Orbitron"/>
                <w:b/>
                <w:color w:val="FFFFFF"/>
                <w:sz w:val="68"/>
              </w:rPr>
              <w:t>DISOL</w:t>
            </w:r>
            <w:r>
              <w:rPr>
                <w:rFonts w:ascii="Orbitron" w:hAnsi="Orbitron"/>
                <w:b/>
                <w:color w:val="E5092A"/>
                <w:sz w:val="68"/>
              </w:rPr>
              <w:t xml:space="preserve"> MOTORS</w:t>
            </w:r>
          </w:p>
          <w:p>
            <w:pPr>
              <w:jc w:val="center"/>
            </w:pPr>
            <w:r>
              <w:rPr>
                <w:rFonts w:ascii="Orbitron" w:hAnsi="Orbitron"/>
                <w:color w:val="B8B8B8"/>
                <w:sz w:val="20"/>
              </w:rPr>
              <w:t>SISTEMA WEB DE GESTIÓN AUTOMOTRIZ</w:t>
            </w:r>
          </w:p>
        </w:tc>
      </w:tr>
    </w:tbl>
    <w:p/>
    <w:p>
      <w:pPr>
        <w:jc w:val="center"/>
      </w:pPr>
      <w:r>
        <w:rPr>
          <w:rFonts w:ascii="Orbitron" w:hAnsi="Orbitron"/>
          <w:b/>
          <w:color w:val="E5092A"/>
          <w:sz w:val="50"/>
        </w:rPr>
        <w:t>MANUAL TÉCNICO</w:t>
      </w:r>
    </w:p>
    <w:p>
      <w:pPr>
        <w:jc w:val="center"/>
      </w:pPr>
      <w:r>
        <w:rPr>
          <w:rFonts w:ascii="Aptos" w:hAnsi="Aptos"/>
          <w:color w:val="2A2A2A"/>
          <w:sz w:val="24"/>
        </w:rPr>
        <w:t>Arquitectura, tecnologías, operación y mantenimiento del Sistema Web de Gestión Automotriz</w:t>
      </w:r>
    </w:p>
    <w:p/>
    <w:tbl>
      <w:tblPr>
        <w:tblW w:type="auto" w:w="0"/>
        <w:jc w:val="center"/>
        <w:tblLook w:firstColumn="1" w:firstRow="1" w:lastColumn="0" w:lastRow="0" w:noHBand="0" w:noVBand="1" w:val="04A0"/>
      </w:tblPr>
      <w:tblGrid>
        <w:gridCol w:w="5040"/>
        <w:gridCol w:w="5040"/>
      </w:tblGrid>
      <w:tr>
        <w:tc>
          <w:tcPr>
            <w:tcW w:type="dxa" w:w="5040"/>
            <w:shd w:fill="151515"/>
            <w:vAlign w:val="center"/>
            <w:tcBorders>
              <w:top w:val="single" w:sz="4" w:color="B0B0B0"/>
              <w:left w:val="single" w:sz="4" w:color="B0B0B0"/>
              <w:bottom w:val="single" w:sz="4" w:color="B0B0B0"/>
              <w:right w:val="single" w:sz="4" w:color="B0B0B0"/>
            </w:tcBorders>
          </w:tcPr>
          <w:p>
            <w:pPr>
              <w:spacing w:after="0"/>
            </w:pPr>
            <w:r/>
            <w:r>
              <w:rPr>
                <w:rFonts w:ascii="Orbitron" w:hAnsi="Orbitron"/>
                <w:b/>
                <w:color w:val="FFFFFF"/>
                <w:sz w:val="18"/>
              </w:rPr>
              <w:t>Versión</w:t>
            </w:r>
          </w:p>
        </w:tc>
        <w:tc>
          <w:tcPr>
            <w:tcW w:type="dxa" w:w="5040"/>
            <w:shd w:fill="F4F4F4"/>
            <w:vAlign w:val="center"/>
            <w:tcBorders>
              <w:top w:val="single" w:sz="4" w:color="B0B0B0"/>
              <w:left w:val="single" w:sz="4" w:color="B0B0B0"/>
              <w:bottom w:val="single" w:sz="4" w:color="B0B0B0"/>
              <w:right w:val="single" w:sz="4" w:color="B0B0B0"/>
            </w:tcBorders>
          </w:tcPr>
          <w:p>
            <w:pPr>
              <w:spacing w:after="0"/>
            </w:pPr>
            <w:r/>
            <w:r>
              <w:rPr>
                <w:rFonts w:ascii="Aptos" w:hAnsi="Aptos"/>
                <w:b w:val="0"/>
                <w:color w:val="0A0A0A"/>
                <w:sz w:val="18"/>
              </w:rPr>
              <w:t>1.0</w:t>
            </w:r>
          </w:p>
        </w:tc>
      </w:tr>
      <w:tr>
        <w:tc>
          <w:tcPr>
            <w:tcW w:type="dxa" w:w="5040"/>
            <w:shd w:fill="151515"/>
            <w:vAlign w:val="center"/>
            <w:tcBorders>
              <w:top w:val="single" w:sz="4" w:color="B0B0B0"/>
              <w:left w:val="single" w:sz="4" w:color="B0B0B0"/>
              <w:bottom w:val="single" w:sz="4" w:color="B0B0B0"/>
              <w:right w:val="single" w:sz="4" w:color="B0B0B0"/>
            </w:tcBorders>
          </w:tcPr>
          <w:p>
            <w:pPr>
              <w:spacing w:after="0"/>
            </w:pPr>
            <w:r/>
            <w:r>
              <w:rPr>
                <w:rFonts w:ascii="Orbitron" w:hAnsi="Orbitron"/>
                <w:b/>
                <w:color w:val="FFFFFF"/>
                <w:sz w:val="18"/>
              </w:rPr>
              <w:t>Fecha</w:t>
            </w:r>
          </w:p>
        </w:tc>
        <w:tc>
          <w:tcPr>
            <w:tcW w:type="dxa" w:w="5040"/>
            <w:shd w:fill="F4F4F4"/>
            <w:vAlign w:val="center"/>
            <w:tcBorders>
              <w:top w:val="single" w:sz="4" w:color="B0B0B0"/>
              <w:left w:val="single" w:sz="4" w:color="B0B0B0"/>
              <w:bottom w:val="single" w:sz="4" w:color="B0B0B0"/>
              <w:right w:val="single" w:sz="4" w:color="B0B0B0"/>
            </w:tcBorders>
          </w:tcPr>
          <w:p>
            <w:pPr>
              <w:spacing w:after="0"/>
            </w:pPr>
            <w:r/>
            <w:r>
              <w:rPr>
                <w:rFonts w:ascii="Aptos" w:hAnsi="Aptos"/>
                <w:b w:val="0"/>
                <w:color w:val="0A0A0A"/>
                <w:sz w:val="18"/>
              </w:rPr>
              <w:t>04/09/2026</w:t>
            </w:r>
          </w:p>
        </w:tc>
      </w:tr>
      <w:tr>
        <w:tc>
          <w:tcPr>
            <w:tcW w:type="dxa" w:w="5040"/>
            <w:shd w:fill="151515"/>
            <w:vAlign w:val="center"/>
            <w:tcBorders>
              <w:top w:val="single" w:sz="4" w:color="B0B0B0"/>
              <w:left w:val="single" w:sz="4" w:color="B0B0B0"/>
              <w:bottom w:val="single" w:sz="4" w:color="B0B0B0"/>
              <w:right w:val="single" w:sz="4" w:color="B0B0B0"/>
            </w:tcBorders>
          </w:tcPr>
          <w:p>
            <w:pPr>
              <w:spacing w:after="0"/>
            </w:pPr>
            <w:r/>
            <w:r>
              <w:rPr>
                <w:rFonts w:ascii="Orbitron" w:hAnsi="Orbitron"/>
                <w:b/>
                <w:color w:val="FFFFFF"/>
                <w:sz w:val="18"/>
              </w:rPr>
              <w:t>Estado</w:t>
            </w:r>
          </w:p>
        </w:tc>
        <w:tc>
          <w:tcPr>
            <w:tcW w:type="dxa" w:w="5040"/>
            <w:shd w:fill="F4F4F4"/>
            <w:vAlign w:val="center"/>
            <w:tcBorders>
              <w:top w:val="single" w:sz="4" w:color="B0B0B0"/>
              <w:left w:val="single" w:sz="4" w:color="B0B0B0"/>
              <w:bottom w:val="single" w:sz="4" w:color="B0B0B0"/>
              <w:right w:val="single" w:sz="4" w:color="B0B0B0"/>
            </w:tcBorders>
          </w:tcPr>
          <w:p>
            <w:pPr>
              <w:spacing w:after="0"/>
            </w:pPr>
            <w:r/>
            <w:r>
              <w:rPr>
                <w:rFonts w:ascii="Aptos" w:hAnsi="Aptos"/>
                <w:b w:val="0"/>
                <w:color w:val="0A0A0A"/>
                <w:sz w:val="18"/>
              </w:rPr>
              <w:t>Documento consolidado para desarrollo y validación</w:t>
            </w:r>
          </w:p>
        </w:tc>
      </w:tr>
      <w:tr>
        <w:tc>
          <w:tcPr>
            <w:tcW w:type="dxa" w:w="5040"/>
            <w:shd w:fill="151515"/>
            <w:vAlign w:val="center"/>
            <w:tcBorders>
              <w:top w:val="single" w:sz="4" w:color="B0B0B0"/>
              <w:left w:val="single" w:sz="4" w:color="B0B0B0"/>
              <w:bottom w:val="single" w:sz="4" w:color="B0B0B0"/>
              <w:right w:val="single" w:sz="4" w:color="B0B0B0"/>
            </w:tcBorders>
          </w:tcPr>
          <w:p>
            <w:pPr>
              <w:spacing w:after="0"/>
            </w:pPr>
            <w:r/>
            <w:r>
              <w:rPr>
                <w:rFonts w:ascii="Orbitron" w:hAnsi="Orbitron"/>
                <w:b/>
                <w:color w:val="FFFFFF"/>
                <w:sz w:val="18"/>
              </w:rPr>
              <w:t>Equipo</w:t>
            </w:r>
          </w:p>
        </w:tc>
        <w:tc>
          <w:tcPr>
            <w:tcW w:type="dxa" w:w="5040"/>
            <w:shd w:fill="F4F4F4"/>
            <w:vAlign w:val="center"/>
            <w:tcBorders>
              <w:top w:val="single" w:sz="4" w:color="B0B0B0"/>
              <w:left w:val="single" w:sz="4" w:color="B0B0B0"/>
              <w:bottom w:val="single" w:sz="4" w:color="B0B0B0"/>
              <w:right w:val="single" w:sz="4" w:color="B0B0B0"/>
            </w:tcBorders>
          </w:tcPr>
          <w:p>
            <w:pPr>
              <w:spacing w:after="0"/>
            </w:pPr>
            <w:r/>
            <w:r>
              <w:rPr>
                <w:rFonts w:ascii="Aptos" w:hAnsi="Aptos"/>
                <w:b w:val="0"/>
                <w:color w:val="0A0A0A"/>
                <w:sz w:val="18"/>
              </w:rPr>
              <w:t>Yan Sneider Plata Serrano · Joseph Camilo Zapata Mejia · Kevin Jean Pierre Barreto Solano</w:t>
            </w:r>
          </w:p>
        </w:tc>
      </w:tr>
    </w:tbl>
    <w:p>
      <w:r>
        <w:br w:type="page"/>
      </w:r>
    </w:p>
    <w:p>
      <w:pPr>
        <w:pStyle w:val="Heading1"/>
      </w:pPr>
      <w:r>
        <w:t>1. Información general</w:t>
      </w:r>
    </w:p>
    <w:p>
      <w:r>
        <w:t>Este manual documenta la base técnica declarada para DISOL MOTORS. Su objetivo es servir como guía para los desarrolladores y para la continuidad del proyecto sin asumir componentes que no aparecen en la fuente.</w:t>
      </w:r>
    </w:p>
    <w:p>
      <w:pPr>
        <w:pStyle w:val="Heading1"/>
      </w:pPr>
      <w:r>
        <w:t>2. Arquitectura tecnológica declarada</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6"/>
              </w:rPr>
              <w:t>Capa</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6"/>
              </w:rPr>
              <w:t>Tecnología</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6"/>
              </w:rPr>
              <w:t>Responsabilidad declarada</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Presentación</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React + Vite</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Interfaz web responsiva y navegación.</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Servicios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FastAPI + Python</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Exponer y procesar servicios de la aplicación.</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Persistencia</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PostgreSQL + Supabase</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Almacenar y consultar información persistente.</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Pagos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Wompi</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Procesar pagos electrónicos.</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Versionamiento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Git</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Herramienta mencionada para el desarrollo.</w:t>
            </w:r>
          </w:p>
        </w:tc>
      </w:tr>
    </w:tbl>
    <w:p>
      <w:pPr>
        <w:spacing w:after="0"/>
      </w:pPr>
    </w:p>
    <w:p>
      <w:pPr>
        <w:pStyle w:val="Heading1"/>
      </w:pPr>
      <w:r>
        <w:t>3. Arquitectura lógica</w:t>
      </w:r>
    </w:p>
    <w:tbl>
      <w:tblPr>
        <w:tblW w:type="auto" w:w="0"/>
        <w:tblLook w:firstColumn="1" w:firstRow="1" w:lastColumn="0" w:lastRow="0" w:noHBand="0" w:noVBand="1" w:val="04A0"/>
      </w:tblPr>
      <w:tblGrid>
        <w:gridCol w:w="10080"/>
      </w:tblGrid>
      <w:tr>
        <w:tc>
          <w:tcPr>
            <w:tcW w:type="dxa" w:w="10080"/>
            <w:shd w:fill="0A0A0A"/>
            <w:tcBorders>
              <w:top w:val="single" w:sz="4" w:color="0A0A0A"/>
              <w:left w:val="single" w:sz="4" w:color="0A0A0A"/>
              <w:bottom w:val="single" w:sz="4" w:color="0A0A0A"/>
              <w:right w:val="single" w:sz="4" w:color="0A0A0A"/>
            </w:tcBorders>
          </w:tcPr>
          <w:p>
            <w:pPr>
              <w:spacing w:after="0"/>
            </w:pPr>
            <w:r/>
            <w:r>
              <w:rPr>
                <w:rFonts w:ascii="Consolas" w:hAnsi="Consolas"/>
                <w:color w:val="FFFFFF"/>
                <w:sz w:val="15"/>
              </w:rPr>
              <w:t>@startuml</w:t>
            </w:r>
          </w:p>
          <w:p>
            <w:pPr>
              <w:spacing w:after="0"/>
            </w:pPr>
            <w:r>
              <w:rPr>
                <w:rFonts w:ascii="Consolas" w:hAnsi="Consolas"/>
                <w:color w:val="FFFFFF"/>
                <w:sz w:val="15"/>
              </w:rPr>
              <w:t>skinparam componentStyle rectangle</w:t>
            </w:r>
          </w:p>
          <w:p>
            <w:pPr>
              <w:spacing w:after="0"/>
            </w:pPr>
            <w:r>
              <w:rPr>
                <w:rFonts w:ascii="Consolas" w:hAnsi="Consolas"/>
                <w:color w:val="FFFFFF"/>
                <w:sz w:val="15"/>
              </w:rPr>
              <w:t>actor Cliente</w:t>
            </w:r>
          </w:p>
          <w:p>
            <w:pPr>
              <w:spacing w:after="0"/>
            </w:pPr>
            <w:r>
              <w:rPr>
                <w:rFonts w:ascii="Consolas" w:hAnsi="Consolas"/>
                <w:color w:val="FFFFFF"/>
                <w:sz w:val="15"/>
              </w:rPr>
              <w:t>actor Administrador</w:t>
            </w:r>
          </w:p>
          <w:p>
            <w:pPr>
              <w:spacing w:after="0"/>
            </w:pPr>
            <w:r>
              <w:rPr>
                <w:rFonts w:ascii="Consolas" w:hAnsi="Consolas"/>
                <w:color w:val="FFFFFF"/>
                <w:sz w:val="15"/>
              </w:rPr>
              <w:t>actor Mecánico</w:t>
            </w:r>
          </w:p>
          <w:p>
            <w:pPr>
              <w:spacing w:after="0"/>
            </w:pPr>
            <w:r>
              <w:rPr>
                <w:rFonts w:ascii="Consolas" w:hAnsi="Consolas"/>
                <w:color w:val="FFFFFF"/>
                <w:sz w:val="15"/>
              </w:rPr>
            </w:r>
          </w:p>
          <w:p>
            <w:pPr>
              <w:spacing w:after="0"/>
            </w:pPr>
            <w:r>
              <w:rPr>
                <w:rFonts w:ascii="Consolas" w:hAnsi="Consolas"/>
                <w:color w:val="FFFFFF"/>
                <w:sz w:val="15"/>
              </w:rPr>
              <w:t>rectangle "Frontend</w:t>
            </w:r>
          </w:p>
          <w:p>
            <w:pPr>
              <w:spacing w:after="0"/>
            </w:pPr>
            <w:r>
              <w:rPr>
                <w:rFonts w:ascii="Consolas" w:hAnsi="Consolas"/>
                <w:color w:val="FFFFFF"/>
                <w:sz w:val="15"/>
              </w:rPr>
              <w:t>React + Vite" as FE</w:t>
            </w:r>
          </w:p>
          <w:p>
            <w:pPr>
              <w:spacing w:after="0"/>
            </w:pPr>
            <w:r>
              <w:rPr>
                <w:rFonts w:ascii="Consolas" w:hAnsi="Consolas"/>
                <w:color w:val="FFFFFF"/>
                <w:sz w:val="15"/>
              </w:rPr>
              <w:t>rectangle "Backend</w:t>
            </w:r>
          </w:p>
          <w:p>
            <w:pPr>
              <w:spacing w:after="0"/>
            </w:pPr>
            <w:r>
              <w:rPr>
                <w:rFonts w:ascii="Consolas" w:hAnsi="Consolas"/>
                <w:color w:val="FFFFFF"/>
                <w:sz w:val="15"/>
              </w:rPr>
              <w:t>FastAPI + Python" as BE</w:t>
            </w:r>
          </w:p>
          <w:p>
            <w:pPr>
              <w:spacing w:after="0"/>
            </w:pPr>
            <w:r>
              <w:rPr>
                <w:rFonts w:ascii="Consolas" w:hAnsi="Consolas"/>
                <w:color w:val="FFFFFF"/>
                <w:sz w:val="15"/>
              </w:rPr>
              <w:t>database "Supabase /</w:t>
            </w:r>
          </w:p>
          <w:p>
            <w:pPr>
              <w:spacing w:after="0"/>
            </w:pPr>
            <w:r>
              <w:rPr>
                <w:rFonts w:ascii="Consolas" w:hAnsi="Consolas"/>
                <w:color w:val="FFFFFF"/>
                <w:sz w:val="15"/>
              </w:rPr>
              <w:t>PostgreSQL" as DB</w:t>
            </w:r>
          </w:p>
          <w:p>
            <w:pPr>
              <w:spacing w:after="0"/>
            </w:pPr>
            <w:r>
              <w:rPr>
                <w:rFonts w:ascii="Consolas" w:hAnsi="Consolas"/>
                <w:color w:val="FFFFFF"/>
                <w:sz w:val="15"/>
              </w:rPr>
              <w:t>rectangle "Wompi</w:t>
            </w:r>
          </w:p>
          <w:p>
            <w:pPr>
              <w:spacing w:after="0"/>
            </w:pPr>
            <w:r>
              <w:rPr>
                <w:rFonts w:ascii="Consolas" w:hAnsi="Consolas"/>
                <w:color w:val="FFFFFF"/>
                <w:sz w:val="15"/>
              </w:rPr>
              <w:t>Pagos" as WP</w:t>
            </w:r>
          </w:p>
          <w:p>
            <w:pPr>
              <w:spacing w:after="0"/>
            </w:pPr>
            <w:r>
              <w:rPr>
                <w:rFonts w:ascii="Consolas" w:hAnsi="Consolas"/>
                <w:color w:val="FFFFFF"/>
                <w:sz w:val="15"/>
              </w:rPr>
            </w:r>
          </w:p>
          <w:p>
            <w:pPr>
              <w:spacing w:after="0"/>
            </w:pPr>
            <w:r>
              <w:rPr>
                <w:rFonts w:ascii="Consolas" w:hAnsi="Consolas"/>
                <w:color w:val="FFFFFF"/>
                <w:sz w:val="15"/>
              </w:rPr>
              <w:t>Cliente --&gt; FE</w:t>
            </w:r>
          </w:p>
          <w:p>
            <w:pPr>
              <w:spacing w:after="0"/>
            </w:pPr>
            <w:r>
              <w:rPr>
                <w:rFonts w:ascii="Consolas" w:hAnsi="Consolas"/>
                <w:color w:val="FFFFFF"/>
                <w:sz w:val="15"/>
              </w:rPr>
              <w:t>Administrador --&gt; FE</w:t>
            </w:r>
          </w:p>
          <w:p>
            <w:pPr>
              <w:spacing w:after="0"/>
            </w:pPr>
            <w:r>
              <w:rPr>
                <w:rFonts w:ascii="Consolas" w:hAnsi="Consolas"/>
                <w:color w:val="FFFFFF"/>
                <w:sz w:val="15"/>
              </w:rPr>
              <w:t>Mecánico --&gt; FE</w:t>
            </w:r>
          </w:p>
          <w:p>
            <w:pPr>
              <w:spacing w:after="0"/>
            </w:pPr>
            <w:r>
              <w:rPr>
                <w:rFonts w:ascii="Consolas" w:hAnsi="Consolas"/>
                <w:color w:val="FFFFFF"/>
                <w:sz w:val="15"/>
              </w:rPr>
              <w:t>FE --&gt; BE</w:t>
            </w:r>
          </w:p>
          <w:p>
            <w:pPr>
              <w:spacing w:after="0"/>
            </w:pPr>
            <w:r>
              <w:rPr>
                <w:rFonts w:ascii="Consolas" w:hAnsi="Consolas"/>
                <w:color w:val="FFFFFF"/>
                <w:sz w:val="15"/>
              </w:rPr>
              <w:t>BE --&gt; DB</w:t>
            </w:r>
          </w:p>
          <w:p>
            <w:pPr>
              <w:spacing w:after="0"/>
            </w:pPr>
            <w:r>
              <w:rPr>
                <w:rFonts w:ascii="Consolas" w:hAnsi="Consolas"/>
                <w:color w:val="FFFFFF"/>
                <w:sz w:val="15"/>
              </w:rPr>
              <w:t>BE --&gt; WP</w:t>
            </w:r>
          </w:p>
          <w:p>
            <w:pPr>
              <w:spacing w:after="0"/>
            </w:pPr>
            <w:r>
              <w:rPr>
                <w:rFonts w:ascii="Consolas" w:hAnsi="Consolas"/>
                <w:color w:val="FFFFFF"/>
                <w:sz w:val="15"/>
              </w:rPr>
              <w:t>@enduml</w:t>
            </w:r>
          </w:p>
        </w:tc>
      </w:tr>
    </w:tbl>
    <w:p/>
    <w:p>
      <w:r>
        <w:t>El diagrama representa únicamente las tecnologías y relaciones descritas en el documento fuente. No especifica infraestructura física, servicios de alojamiento concretos ni endpoints porque no están documentados en la fuente.</w:t>
      </w:r>
    </w:p>
    <w:p>
      <w:pPr>
        <w:pStyle w:val="Heading1"/>
      </w:pPr>
      <w:r>
        <w:t>4. Módulos técnicos</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Módulo</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Responsabilidad</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Actores</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Autenticación</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Registro, inicio de sesión y control de rol.</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Todos según rol</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Vehículos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Persistencia y consulta de vehículos asociados a clientes.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Inventario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CRUD y control de existencias.</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Administrador/usuarios autorizados</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Catálogo</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Consulta, búsqueda y paginación.</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Carrito/Compras</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Gestión de productos y totales.</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Pagos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Integración y registro de resultado Wompi.</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Citas</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Gestión según permisos y disponibilidad.</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Cliente/Administrador/Mecánico</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Órdenes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Seguimiento y actualización de reparaciones.</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Administrador/Mecánico</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Facturación</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Generación/consulta de información asociada.</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Cliente/Administrador</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Cuenta/Historial</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Consulta de información propia.</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Cliente</w:t>
            </w:r>
          </w:p>
        </w:tc>
      </w:tr>
    </w:tbl>
    <w:p>
      <w:pPr>
        <w:spacing w:after="0"/>
      </w:pPr>
    </w:p>
    <w:p>
      <w:pPr>
        <w:pStyle w:val="Heading1"/>
      </w:pPr>
      <w:r>
        <w:t>5. Modelo de datos — base documental</w:t>
      </w:r>
    </w:p>
    <w:p>
      <w:r>
        <w:t>La fuente menciona información de usuarios, clientes, vehículos, productos, citas, órdenes de trabajo, pagos y facturación, pero no proporciona un esquema relacional completo ni tipos de datos definitivos. Por lo tanto, el siguiente modelo es un inventario de dominios de información, no un SQL cerrado.</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Dominio</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Datos explícitos</w:t>
            </w:r>
          </w:p>
        </w:tc>
        <w:tc>
          <w:tcPr>
            <w:tcW w:type="dxa" w:w="336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Estado de definición</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Usuario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Registro, credenciales, rol.</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Vehículo</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Placa, marca, modelo, cliente.</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Producto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Nombre, descripción, imagen, referencia, precio, disponibilidad; categoría/código en búsqueda.</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Cita</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Fecha/hora y relación con cliente/servicio.</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Orden de trabajo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Servicio, vehículo, cliente, estado, mecánico/seguimiento.</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Pago</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Resultado de operación electrónica.</w:t>
            </w:r>
          </w:p>
        </w:tc>
        <w:tc>
          <w:tcPr>
            <w:tcW w:type="dxa" w:w="336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r>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Factura</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Información asociada a operaciones.</w:t>
            </w:r>
          </w:p>
        </w:tc>
        <w:tc>
          <w:tcPr>
            <w:tcW w:type="dxa" w:w="336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Parcial</w:t>
            </w:r>
          </w:p>
        </w:tc>
      </w:tr>
    </w:tbl>
    <w:p>
      <w:pPr>
        <w:spacing w:after="0"/>
      </w:pPr>
    </w:p>
    <w:p>
      <w:pPr>
        <w:pStyle w:val="Heading1"/>
      </w:pPr>
      <w:r>
        <w:t>6. Flujo técnico de autenticación</w:t>
      </w:r>
    </w:p>
    <w:p>
      <w:pPr>
        <w:pStyle w:val="ListNumber"/>
        <w:spacing w:after="40"/>
      </w:pPr>
      <w:r>
        <w:t>El usuario accede a la interfaz web.</w:t>
      </w:r>
    </w:p>
    <w:p>
      <w:pPr>
        <w:pStyle w:val="ListNumber"/>
        <w:spacing w:after="40"/>
      </w:pPr>
      <w:r>
        <w:t>Proporciona las credenciales requeridas.</w:t>
      </w:r>
    </w:p>
    <w:p>
      <w:pPr>
        <w:pStyle w:val="ListNumber"/>
        <w:spacing w:after="40"/>
      </w:pPr>
      <w:r>
        <w:t>El backend procesa la solicitud de autenticación.</w:t>
      </w:r>
    </w:p>
    <w:p>
      <w:pPr>
        <w:pStyle w:val="ListNumber"/>
        <w:spacing w:after="40"/>
      </w:pPr>
      <w:r>
        <w:t>El sistema determina el rol y restringe funciones según permisos.</w:t>
      </w:r>
    </w:p>
    <w:p>
      <w:pPr>
        <w:pStyle w:val="ListNumber"/>
        <w:spacing w:after="40"/>
      </w:pPr>
      <w:r>
        <w:t>El usuario accede a las operaciones autorizadas.</w:t>
      </w:r>
    </w:p>
    <w:tbl>
      <w:tblPr>
        <w:tblW w:type="auto" w:w="0"/>
        <w:jc w:val="center"/>
        <w:tblLook w:firstColumn="1" w:firstRow="1" w:lastColumn="0" w:lastRow="0" w:noHBand="0" w:noVBand="1" w:val="04A0"/>
      </w:tblPr>
      <w:tblGrid>
        <w:gridCol w:w="5040"/>
        <w:gridCol w:w="5040"/>
      </w:tblGrid>
      <w:tr>
        <w:tc>
          <w:tcPr>
            <w:tcW w:type="dxa" w:w="5040"/>
            <w:shd w:fill="E5092A"/>
            <w:vAlign w:val="center"/>
            <w:tcBorders>
              <w:top w:val="single" w:sz="4" w:color="E5092A"/>
              <w:left w:val="single" w:sz="4" w:color="E5092A"/>
              <w:bottom w:val="single" w:sz="4" w:color="E5092A"/>
              <w:right w:val="single" w:sz="4" w:color="E5092A"/>
            </w:tcBorders>
          </w:tcPr>
          <w:p>
            <w:pPr>
              <w:spacing w:after="0"/>
            </w:pPr>
            <w:r/>
            <w:r>
              <w:rPr>
                <w:rFonts w:ascii="Orbitron" w:hAnsi="Orbitron"/>
                <w:b/>
                <w:color w:val="FFFFFF"/>
                <w:sz w:val="16"/>
              </w:rPr>
              <w:t>PENDIENTE</w:t>
            </w:r>
          </w:p>
        </w:tc>
        <w:tc>
          <w:tcPr>
            <w:tcW w:type="dxa" w:w="5040"/>
            <w:shd w:fill="F9E6E9"/>
            <w:vAlign w:val="center"/>
            <w:tcBorders>
              <w:top w:val="single" w:sz="4" w:color="E5092A"/>
              <w:left w:val="single" w:sz="4" w:color="E5092A"/>
              <w:bottom w:val="single" w:sz="4" w:color="E5092A"/>
              <w:right w:val="single" w:sz="4" w:color="E5092A"/>
            </w:tcBorders>
          </w:tcPr>
          <w:p>
            <w:pPr>
              <w:spacing w:after="0"/>
            </w:pPr>
            <w:r/>
            <w:r>
              <w:rPr>
                <w:rFonts w:ascii="Aptos" w:hAnsi="Aptos"/>
                <w:b w:val="0"/>
                <w:color w:val="0A0A0A"/>
                <w:sz w:val="17"/>
              </w:rPr>
              <w:t>La fuente no define algoritmo de hash, mecanismo de tokens/sesiones, expiración, recuperación de contraseña ni política de contraseñas. Estos elementos deben definirse antes de cerrar la implementación de seguridad.</w:t>
            </w:r>
          </w:p>
        </w:tc>
      </w:tr>
    </w:tbl>
    <w:p/>
    <w:p>
      <w:pPr>
        <w:pStyle w:val="Heading1"/>
      </w:pPr>
      <w:r>
        <w:t>7. Flujo técnico de catálogo, carrito y pago</w:t>
      </w:r>
    </w:p>
    <w:p>
      <w:pPr>
        <w:pStyle w:val="ListNumber"/>
        <w:spacing w:after="40"/>
      </w:pPr>
      <w:r>
        <w:t>El cliente consulta el catálogo y utiliza búsqueda/paginación.</w:t>
      </w:r>
    </w:p>
    <w:p>
      <w:pPr>
        <w:pStyle w:val="ListNumber"/>
        <w:spacing w:after="40"/>
      </w:pPr>
      <w:r>
        <w:t>Selecciona productos y cantidades.</w:t>
      </w:r>
    </w:p>
    <w:p>
      <w:pPr>
        <w:pStyle w:val="ListNumber"/>
        <w:spacing w:after="40"/>
      </w:pPr>
      <w:r>
        <w:t>El carrito calcula subtotal y total.</w:t>
      </w:r>
    </w:p>
    <w:p>
      <w:pPr>
        <w:pStyle w:val="ListNumber"/>
        <w:spacing w:after="40"/>
      </w:pPr>
      <w:r>
        <w:t>La compra se envía al flujo de pago electrónico.</w:t>
      </w:r>
    </w:p>
    <w:p>
      <w:pPr>
        <w:pStyle w:val="ListNumber"/>
        <w:spacing w:after="40"/>
      </w:pPr>
      <w:r>
        <w:t>Wompi procesa la operación según su disponibilidad.</w:t>
      </w:r>
    </w:p>
    <w:p>
      <w:pPr>
        <w:pStyle w:val="ListNumber"/>
        <w:spacing w:after="40"/>
      </w:pPr>
      <w:r>
        <w:t>El sistema registra el resultado de la operación y dispone de información para facturación.</w:t>
      </w:r>
    </w:p>
    <w:p>
      <w:pPr>
        <w:pStyle w:val="Heading1"/>
      </w:pPr>
      <w:r>
        <w:t>8. Flujo técnico de citas</w:t>
      </w:r>
    </w:p>
    <w:p>
      <w:pPr>
        <w:pStyle w:val="ListNumber"/>
        <w:spacing w:after="40"/>
      </w:pPr>
      <w:r>
        <w:t>El cliente inicia la operación de cita.</w:t>
      </w:r>
    </w:p>
    <w:p>
      <w:pPr>
        <w:pStyle w:val="ListNumber"/>
        <w:spacing w:after="40"/>
      </w:pPr>
      <w:r>
        <w:t>El sistema valida disponibilidad de fecha y hora.</w:t>
      </w:r>
    </w:p>
    <w:p>
      <w:pPr>
        <w:pStyle w:val="ListNumber"/>
        <w:spacing w:after="40"/>
      </w:pPr>
      <w:r>
        <w:t>Si es válida, se registra la cita.</w:t>
      </w:r>
    </w:p>
    <w:p>
      <w:pPr>
        <w:pStyle w:val="ListNumber"/>
        <w:spacing w:after="40"/>
      </w:pPr>
      <w:r>
        <w:t>El cliente puede consultar, reprogramar o cancelar sus propias citas según reglas.</w:t>
      </w:r>
    </w:p>
    <w:p>
      <w:pPr>
        <w:pStyle w:val="ListNumber"/>
        <w:spacing w:after="40"/>
      </w:pPr>
      <w:r>
        <w:t>El administrador puede consultar, reprogramar y cancelar según permisos.</w:t>
      </w:r>
    </w:p>
    <w:p>
      <w:pPr>
        <w:pStyle w:val="ListNumber"/>
        <w:spacing w:after="40"/>
      </w:pPr>
      <w:r>
        <w:t>El mecánico consulta las citas que le fueron asignadas, sin gestionar cancelaciones/reprogramaciones.</w:t>
      </w:r>
    </w:p>
    <w:p>
      <w:pPr>
        <w:pStyle w:val="Heading1"/>
      </w:pPr>
      <w:r>
        <w:t>9. Flujo técnico de órdenes</w:t>
      </w:r>
    </w:p>
    <w:p>
      <w:pPr>
        <w:pStyle w:val="ListNumber"/>
        <w:spacing w:after="40"/>
      </w:pPr>
      <w:r>
        <w:t>Se crea una orden relacionada con el vehículo y el servicio.</w:t>
      </w:r>
    </w:p>
    <w:p>
      <w:pPr>
        <w:pStyle w:val="ListNumber"/>
        <w:spacing w:after="40"/>
      </w:pPr>
      <w:r>
        <w:t>La orden conserva información para seguimiento y trazabilidad.</w:t>
      </w:r>
    </w:p>
    <w:p>
      <w:pPr>
        <w:pStyle w:val="ListNumber"/>
        <w:spacing w:after="40"/>
      </w:pPr>
      <w:r>
        <w:t>El mecánico consulta las órdenes asignadas.</w:t>
      </w:r>
    </w:p>
    <w:p>
      <w:pPr>
        <w:pStyle w:val="ListNumber"/>
        <w:spacing w:after="40"/>
      </w:pPr>
      <w:r>
        <w:t>El mecánico actualiza la información correspondiente a la reparación.</w:t>
      </w:r>
    </w:p>
    <w:p>
      <w:pPr>
        <w:pStyle w:val="ListNumber"/>
        <w:spacing w:after="40"/>
      </w:pPr>
      <w:r>
        <w:t>La información actualizada queda disponible para seguimiento.</w:t>
      </w:r>
    </w:p>
    <w:p>
      <w:pPr>
        <w:pStyle w:val="Heading1"/>
      </w:pPr>
      <w:r>
        <w:t>10. Seguridad técnica</w:t>
      </w:r>
    </w:p>
    <w:p>
      <w:pPr>
        <w:pStyle w:val="ListBullet"/>
        <w:spacing w:after="40"/>
      </w:pPr>
      <w:r>
        <w:t>Autenticación obligatoria para funciones protegidas.</w:t>
      </w:r>
    </w:p>
    <w:p>
      <w:pPr>
        <w:pStyle w:val="ListBullet"/>
        <w:spacing w:after="40"/>
      </w:pPr>
      <w:r>
        <w:t>Autorización por roles diferenciados.</w:t>
      </w:r>
    </w:p>
    <w:p>
      <w:pPr>
        <w:pStyle w:val="ListBullet"/>
        <w:spacing w:after="40"/>
      </w:pPr>
      <w:r>
        <w:t>Comunicaciones mediante conexiones protegidas.</w:t>
      </w:r>
    </w:p>
    <w:p>
      <w:pPr>
        <w:pStyle w:val="ListBullet"/>
        <w:spacing w:after="40"/>
      </w:pPr>
      <w:r>
        <w:t>Gestión segura de credenciales.</w:t>
      </w:r>
    </w:p>
    <w:p>
      <w:pPr>
        <w:pStyle w:val="ListBullet"/>
        <w:spacing w:after="40"/>
      </w:pPr>
      <w:r>
        <w:t>Protección de datos personales conforme a normativa aplicable.</w:t>
      </w:r>
    </w:p>
    <w:p>
      <w:pPr>
        <w:pStyle w:val="Heading1"/>
      </w:pPr>
      <w:r>
        <w:t>11. Rendimiento y capacidad</w:t>
      </w:r>
    </w:p>
    <w:tbl>
      <w:tblPr>
        <w:tblW w:type="auto" w:w="0"/>
        <w:jc w:val="center"/>
        <w:tblLook w:firstColumn="1" w:firstRow="1" w:lastColumn="0" w:lastRow="0" w:noHBand="0" w:noVBand="1" w:val="04A0"/>
      </w:tblPr>
      <w:tblGrid>
        <w:gridCol w:w="5040"/>
        <w:gridCol w:w="5040"/>
      </w:tblGrid>
      <w:tr>
        <w:trPr>
          <w:tblHeader w:val="true"/>
        </w:trPr>
        <w:tc>
          <w:tcPr>
            <w:tcW w:type="dxa" w:w="504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6"/>
              </w:rPr>
              <w:t>Indicador</w:t>
            </w:r>
          </w:p>
        </w:tc>
        <w:tc>
          <w:tcPr>
            <w:tcW w:type="dxa" w:w="504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6"/>
              </w:rPr>
              <w:t>Criterio documentado</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Respuesta</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Objetivo de diseño inferior a 5 segundos para consultas y acciones comunes en condiciones normales.</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Concurrencia</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Al menos 3 usuarios concurrentes durante pruebas iniciales sin degradación significativa.</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Interfaz</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Carga en tiempo razonable, optimizando recursos y carga progresiva.</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Consultas</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6"/>
              </w:rPr>
              <w:t>Optimización para búsquedas de productos, clientes, vehículos, citas y órdenes.</w:t>
            </w:r>
          </w:p>
        </w:tc>
      </w:tr>
    </w:tbl>
    <w:p>
      <w:pPr>
        <w:spacing w:after="0"/>
      </w:pPr>
    </w:p>
    <w:p>
      <w:pPr>
        <w:pStyle w:val="Heading1"/>
      </w:pPr>
      <w:r>
        <w:t>12. Compatibilidad y portabilidad</w:t>
      </w:r>
    </w:p>
    <w:p>
      <w:pPr>
        <w:pStyle w:val="ListBullet"/>
        <w:spacing w:after="40"/>
      </w:pPr>
      <w:r>
        <w:t>Google Chrome, Mozilla Firefox, Microsoft Edge y Safari.</w:t>
      </w:r>
    </w:p>
    <w:p>
      <w:pPr>
        <w:pStyle w:val="ListBullet"/>
        <w:spacing w:after="40"/>
      </w:pPr>
      <w:r>
        <w:t>Dispositivos móviles, tabletas y computadores de escritorio.</w:t>
      </w:r>
    </w:p>
    <w:p>
      <w:pPr>
        <w:pStyle w:val="ListBullet"/>
        <w:spacing w:after="40"/>
      </w:pPr>
      <w:r>
        <w:t>No se requiere instalación de software adicional en el dispositivo del cliente.</w:t>
      </w:r>
    </w:p>
    <w:p>
      <w:pPr>
        <w:pStyle w:val="ListBullet"/>
        <w:spacing w:after="40"/>
      </w:pPr>
      <w:r>
        <w:t>Se requiere conexión estable a internet.</w:t>
      </w:r>
    </w:p>
    <w:p>
      <w:pPr>
        <w:pStyle w:val="Heading1"/>
      </w:pPr>
      <w:r>
        <w:t>13. Operación y mantenimiento</w:t>
      </w:r>
    </w:p>
    <w:p>
      <w:pPr>
        <w:pStyle w:val="ListBullet"/>
        <w:spacing w:after="40"/>
      </w:pPr>
      <w:r>
        <w:t>Mantener actualizados inventario, servicios, citas y órdenes.</w:t>
      </w:r>
    </w:p>
    <w:p>
      <w:pPr>
        <w:pStyle w:val="ListBullet"/>
        <w:spacing w:after="40"/>
      </w:pPr>
      <w:r>
        <w:t>Mantener actualizados precios y disponibilidad de repuestos.</w:t>
      </w:r>
    </w:p>
    <w:p>
      <w:pPr>
        <w:pStyle w:val="ListBullet"/>
        <w:spacing w:after="40"/>
      </w:pPr>
      <w:r>
        <w:t>Realizar actualizaciones de manera controlada.</w:t>
      </w:r>
    </w:p>
    <w:p>
      <w:pPr>
        <w:pStyle w:val="ListBullet"/>
        <w:spacing w:after="40"/>
      </w:pPr>
      <w:r>
        <w:t>Mantener frontend, backend y base de datos.</w:t>
      </w:r>
    </w:p>
    <w:p>
      <w:pPr>
        <w:pStyle w:val="ListBullet"/>
        <w:spacing w:after="40"/>
      </w:pPr>
      <w:r>
        <w:t>Verificar disponibilidad de servicios externos.</w:t>
      </w:r>
    </w:p>
    <w:p>
      <w:pPr>
        <w:pStyle w:val="ListBullet"/>
        <w:spacing w:after="40"/>
      </w:pPr>
      <w:r>
        <w:t>Conservar la separación modular entre frontend, backend y persistencia.</w:t>
      </w:r>
    </w:p>
    <w:p>
      <w:pPr>
        <w:pStyle w:val="Heading1"/>
      </w:pPr>
      <w:r>
        <w:t>14. Configuración y despliegue</w:t>
      </w:r>
    </w:p>
    <w:p>
      <w:r>
        <w:t>La fuente establece que el sistema depende de frontend, backend y base de datos, además de Wompi, pero no documenta proveedores de hosting, dominios, variables de entorno, puertos, comandos de despliegue ni configuración exacta. Esos datos no se completan en este manual para evitar inventar información.</w:t>
      </w:r>
    </w:p>
    <w:p>
      <w:pPr>
        <w:pStyle w:val="Heading1"/>
      </w:pPr>
      <w:r>
        <w:t>15. Pruebas técnicas recomendadas por la especificación</w:t>
      </w:r>
    </w:p>
    <w:p>
      <w:pPr>
        <w:pStyle w:val="ListBullet"/>
        <w:spacing w:after="40"/>
      </w:pPr>
      <w:r>
        <w:t>Pruebas funcionales de autenticación y roles.</w:t>
      </w:r>
    </w:p>
    <w:p>
      <w:pPr>
        <w:pStyle w:val="ListBullet"/>
        <w:spacing w:after="40"/>
      </w:pPr>
      <w:r>
        <w:t>Pruebas CRUD de inventario y consulta de catálogo.</w:t>
      </w:r>
    </w:p>
    <w:p>
      <w:pPr>
        <w:pStyle w:val="ListBullet"/>
        <w:spacing w:after="40"/>
      </w:pPr>
      <w:r>
        <w:t>Pruebas de carrito, cálculo de totales y resultado de pago.</w:t>
      </w:r>
    </w:p>
    <w:p>
      <w:pPr>
        <w:pStyle w:val="ListBullet"/>
        <w:spacing w:after="40"/>
      </w:pPr>
      <w:r>
        <w:t>Pruebas de reglas de citas por rol y disponibilidad.</w:t>
      </w:r>
    </w:p>
    <w:p>
      <w:pPr>
        <w:pStyle w:val="ListBullet"/>
        <w:spacing w:after="40"/>
      </w:pPr>
      <w:r>
        <w:t>Pruebas de órdenes y actualización por mecánico.</w:t>
      </w:r>
    </w:p>
    <w:p>
      <w:pPr>
        <w:pStyle w:val="ListBullet"/>
        <w:spacing w:after="40"/>
      </w:pPr>
      <w:r>
        <w:t>Pruebas de facturación/consulta.</w:t>
      </w:r>
    </w:p>
    <w:p>
      <w:pPr>
        <w:pStyle w:val="ListBullet"/>
        <w:spacing w:after="40"/>
      </w:pPr>
      <w:r>
        <w:t>Pruebas de usabilidad, rendimiento y seguridad.</w:t>
      </w:r>
    </w:p>
    <w:p>
      <w:pPr>
        <w:pStyle w:val="ListBullet"/>
        <w:spacing w:after="40"/>
      </w:pPr>
      <w:r>
        <w:t>Prueba inicial de al menos 3 usuarios concurrentes.</w:t>
      </w:r>
    </w:p>
    <w:p>
      <w:pPr>
        <w:pStyle w:val="Heading1"/>
      </w:pPr>
      <w:r>
        <w:t>16. Información técnica pendiente</w:t>
      </w:r>
    </w:p>
    <w:tbl>
      <w:tblPr>
        <w:tblW w:type="auto" w:w="0"/>
        <w:jc w:val="center"/>
        <w:tblLook w:firstColumn="1" w:firstRow="1" w:lastColumn="0" w:lastRow="0" w:noHBand="0" w:noVBand="1" w:val="04A0"/>
      </w:tblPr>
      <w:tblGrid>
        <w:gridCol w:w="5040"/>
        <w:gridCol w:w="5040"/>
      </w:tblGrid>
      <w:tr>
        <w:trPr>
          <w:tblHeader w:val="true"/>
        </w:trPr>
        <w:tc>
          <w:tcPr>
            <w:tcW w:type="dxa" w:w="504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Tema</w:t>
            </w:r>
          </w:p>
        </w:tc>
        <w:tc>
          <w:tcPr>
            <w:tcW w:type="dxa" w:w="5040"/>
            <w:shd w:fill="0A0A0A"/>
            <w:vAlign w:val="center"/>
            <w:tcBorders>
              <w:top w:val="single" w:sz="4" w:color="A0A0A0"/>
              <w:left w:val="single" w:sz="4" w:color="A0A0A0"/>
              <w:bottom w:val="single" w:sz="4" w:color="A0A0A0"/>
              <w:right w:val="single" w:sz="4" w:color="A0A0A0"/>
            </w:tcBorders>
          </w:tcPr>
          <w:p>
            <w:pPr>
              <w:spacing w:after="0"/>
            </w:pPr>
            <w:r/>
            <w:r>
              <w:rPr>
                <w:rFonts w:ascii="Orbitron" w:hAnsi="Orbitron"/>
                <w:b/>
                <w:color w:val="FFFFFF"/>
                <w:sz w:val="15"/>
              </w:rPr>
              <w:t>Información requerida antes de operación productiva</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Seguridad</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Tokens/sesiones, hashing, recuperación de contraseña, políticas de credenciales.</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Base de datos</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DDL, índices, constraints, relaciones completas y estrategia de respaldos.</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API</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Listado de endpoints, métodos, parámetros, respuestas y códigos de error.</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Despliegue</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Proveedor, dominio, puertos, variables de entorno y proceso CI/CD.</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Wompi</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Credenciales/configuración, callbacks/webhooks y estados de transacción.</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Grúa</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Flujo, datos, cobertura, estados y responsables.</w:t>
            </w:r>
          </w:p>
        </w:tc>
      </w:tr>
      <w:tr>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Roles</w:t>
            </w:r>
          </w:p>
        </w:tc>
        <w:tc>
          <w:tcPr>
            <w:tcW w:type="dxa" w:w="5040"/>
            <w:shd w:fill="F4F4F4"/>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Confirmar si existe “empleado” como rol independiente.</w:t>
            </w:r>
          </w:p>
        </w:tc>
      </w:tr>
      <w:tr>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Facturación</w:t>
            </w:r>
          </w:p>
        </w:tc>
        <w:tc>
          <w:tcPr>
            <w:tcW w:type="dxa" w:w="5040"/>
            <w:shd w:fill="FFFFFF"/>
            <w:vAlign w:val="center"/>
            <w:tcBorders>
              <w:top w:val="single" w:sz="4" w:color="A0A0A0"/>
              <w:left w:val="single" w:sz="4" w:color="A0A0A0"/>
              <w:bottom w:val="single" w:sz="4" w:color="A0A0A0"/>
              <w:right w:val="single" w:sz="4" w:color="A0A0A0"/>
            </w:tcBorders>
          </w:tcPr>
          <w:p>
            <w:pPr>
              <w:spacing w:after="0"/>
            </w:pPr>
            <w:r/>
            <w:r>
              <w:rPr>
                <w:rFonts w:ascii="Aptos" w:hAnsi="Aptos"/>
                <w:b w:val="0"/>
                <w:color w:val="0A0A0A"/>
                <w:sz w:val="15"/>
              </w:rPr>
              <w:t>Formato, datos fiscales y reglas aplicables.</w:t>
            </w:r>
          </w:p>
        </w:tc>
      </w:tr>
    </w:tbl>
    <w:p>
      <w:pPr>
        <w:spacing w:after="0"/>
      </w:pPr>
    </w:p>
    <w:p>
      <w:pPr>
        <w:pStyle w:val="Heading1"/>
      </w:pPr>
      <w:r>
        <w:t>17. Código de referencia — PlantUML de componentes</w:t>
      </w:r>
    </w:p>
    <w:tbl>
      <w:tblPr>
        <w:tblW w:type="auto" w:w="0"/>
        <w:tblLook w:firstColumn="1" w:firstRow="1" w:lastColumn="0" w:lastRow="0" w:noHBand="0" w:noVBand="1" w:val="04A0"/>
      </w:tblPr>
      <w:tblGrid>
        <w:gridCol w:w="10080"/>
      </w:tblGrid>
      <w:tr>
        <w:tc>
          <w:tcPr>
            <w:tcW w:type="dxa" w:w="10080"/>
            <w:shd w:fill="0A0A0A"/>
            <w:tcBorders>
              <w:top w:val="single" w:sz="4" w:color="0A0A0A"/>
              <w:left w:val="single" w:sz="4" w:color="0A0A0A"/>
              <w:bottom w:val="single" w:sz="4" w:color="0A0A0A"/>
              <w:right w:val="single" w:sz="4" w:color="0A0A0A"/>
            </w:tcBorders>
          </w:tcPr>
          <w:p>
            <w:pPr>
              <w:spacing w:after="0"/>
            </w:pPr>
            <w:r/>
            <w:r>
              <w:rPr>
                <w:rFonts w:ascii="Consolas" w:hAnsi="Consolas"/>
                <w:color w:val="FFFFFF"/>
                <w:sz w:val="15"/>
              </w:rPr>
              <w:t>@startuml</w:t>
            </w:r>
          </w:p>
          <w:p>
            <w:pPr>
              <w:spacing w:after="0"/>
            </w:pPr>
            <w:r>
              <w:rPr>
                <w:rFonts w:ascii="Consolas" w:hAnsi="Consolas"/>
                <w:color w:val="FFFFFF"/>
                <w:sz w:val="15"/>
              </w:rPr>
              <w:t>skinparam componentStyle rectangle</w:t>
            </w:r>
          </w:p>
          <w:p>
            <w:pPr>
              <w:spacing w:after="0"/>
            </w:pPr>
            <w:r>
              <w:rPr>
                <w:rFonts w:ascii="Consolas" w:hAnsi="Consolas"/>
                <w:color w:val="FFFFFF"/>
                <w:sz w:val="15"/>
              </w:rPr>
              <w:t>package "Cliente Web" {</w:t>
            </w:r>
          </w:p>
          <w:p>
            <w:pPr>
              <w:spacing w:after="0"/>
            </w:pPr>
            <w:r>
              <w:rPr>
                <w:rFonts w:ascii="Consolas" w:hAnsi="Consolas"/>
                <w:color w:val="FFFFFF"/>
                <w:sz w:val="15"/>
              </w:rPr>
              <w:t xml:space="preserve">  [React/Vite] as Frontend</w:t>
            </w:r>
          </w:p>
          <w:p>
            <w:pPr>
              <w:spacing w:after="0"/>
            </w:pPr>
            <w:r>
              <w:rPr>
                <w:rFonts w:ascii="Consolas" w:hAnsi="Consolas"/>
                <w:color w:val="FFFFFF"/>
                <w:sz w:val="15"/>
              </w:rPr>
              <w:t>}</w:t>
            </w:r>
          </w:p>
          <w:p>
            <w:pPr>
              <w:spacing w:after="0"/>
            </w:pPr>
            <w:r>
              <w:rPr>
                <w:rFonts w:ascii="Consolas" w:hAnsi="Consolas"/>
                <w:color w:val="FFFFFF"/>
                <w:sz w:val="15"/>
              </w:rPr>
              <w:t>package "Servidor" {</w:t>
            </w:r>
          </w:p>
          <w:p>
            <w:pPr>
              <w:spacing w:after="0"/>
            </w:pPr>
            <w:r>
              <w:rPr>
                <w:rFonts w:ascii="Consolas" w:hAnsi="Consolas"/>
                <w:color w:val="FFFFFF"/>
                <w:sz w:val="15"/>
              </w:rPr>
              <w:t xml:space="preserve">  [FastAPI/Python] as Backend</w:t>
            </w:r>
          </w:p>
          <w:p>
            <w:pPr>
              <w:spacing w:after="0"/>
            </w:pPr>
            <w:r>
              <w:rPr>
                <w:rFonts w:ascii="Consolas" w:hAnsi="Consolas"/>
                <w:color w:val="FFFFFF"/>
                <w:sz w:val="15"/>
              </w:rPr>
              <w:t>}</w:t>
            </w:r>
          </w:p>
          <w:p>
            <w:pPr>
              <w:spacing w:after="0"/>
            </w:pPr>
            <w:r>
              <w:rPr>
                <w:rFonts w:ascii="Consolas" w:hAnsi="Consolas"/>
                <w:color w:val="FFFFFF"/>
                <w:sz w:val="15"/>
              </w:rPr>
              <w:t>database "Supabase/PostgreSQL" as DB</w:t>
            </w:r>
          </w:p>
          <w:p>
            <w:pPr>
              <w:spacing w:after="0"/>
            </w:pPr>
            <w:r>
              <w:rPr>
                <w:rFonts w:ascii="Consolas" w:hAnsi="Consolas"/>
                <w:color w:val="FFFFFF"/>
                <w:sz w:val="15"/>
              </w:rPr>
              <w:t>cloud "Wompi" as Wompi</w:t>
            </w:r>
          </w:p>
          <w:p>
            <w:pPr>
              <w:spacing w:after="0"/>
            </w:pPr>
            <w:r>
              <w:rPr>
                <w:rFonts w:ascii="Consolas" w:hAnsi="Consolas"/>
                <w:color w:val="FFFFFF"/>
                <w:sz w:val="15"/>
              </w:rPr>
            </w:r>
          </w:p>
          <w:p>
            <w:pPr>
              <w:spacing w:after="0"/>
            </w:pPr>
            <w:r>
              <w:rPr>
                <w:rFonts w:ascii="Consolas" w:hAnsi="Consolas"/>
                <w:color w:val="FFFFFF"/>
                <w:sz w:val="15"/>
              </w:rPr>
              <w:t>Frontend --&gt; Backend : solicitudes web</w:t>
            </w:r>
          </w:p>
          <w:p>
            <w:pPr>
              <w:spacing w:after="0"/>
            </w:pPr>
            <w:r>
              <w:rPr>
                <w:rFonts w:ascii="Consolas" w:hAnsi="Consolas"/>
                <w:color w:val="FFFFFF"/>
                <w:sz w:val="15"/>
              </w:rPr>
              <w:t>Backend --&gt; DB : persistencia</w:t>
            </w:r>
          </w:p>
          <w:p>
            <w:pPr>
              <w:spacing w:after="0"/>
            </w:pPr>
            <w:r>
              <w:rPr>
                <w:rFonts w:ascii="Consolas" w:hAnsi="Consolas"/>
                <w:color w:val="FFFFFF"/>
                <w:sz w:val="15"/>
              </w:rPr>
              <w:t>Backend --&gt; Wompi : pago electrónico</w:t>
            </w:r>
          </w:p>
          <w:p>
            <w:pPr>
              <w:spacing w:after="0"/>
            </w:pPr>
            <w:r>
              <w:rPr>
                <w:rFonts w:ascii="Consolas" w:hAnsi="Consolas"/>
                <w:color w:val="FFFFFF"/>
                <w:sz w:val="15"/>
              </w:rPr>
              <w:t>@enduml</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B8B8B8"/>
        <w:sz w:val="16"/>
      </w:rPr>
      <w:t xml:space="preserve">DISOL MOTORS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776"/>
      <w:gridCol w:w="2304"/>
    </w:tblGrid>
    <w:tr>
      <w:tc>
        <w:tcPr>
          <w:tcW w:type="dxa" w:w="5040"/>
          <w:shd w:fill="0A0A0A"/>
          <w:vAlign w:val="center"/>
        </w:tcPr>
        <w:p>
          <w:pPr>
            <w:spacing w:after="0"/>
          </w:pPr>
          <w:r/>
          <w:r>
            <w:rPr>
              <w:rFonts w:ascii="Orbitron" w:hAnsi="Orbitron"/>
              <w:b/>
              <w:color w:val="FFFFFF"/>
              <w:sz w:val="18"/>
            </w:rPr>
            <w:t>DISOL MOTORS</w:t>
          </w:r>
        </w:p>
      </w:tc>
      <w:tc>
        <w:tcPr>
          <w:tcW w:type="dxa" w:w="5040"/>
          <w:shd w:fill="E5092A"/>
          <w:vAlign w:val="center"/>
        </w:tcPr>
        <w:p>
          <w:pPr>
            <w:spacing w:after="0"/>
          </w:pPr>
          <w:r/>
          <w:r>
            <w:rPr>
              <w:rFonts w:ascii="Orbitron" w:hAnsi="Orbitron"/>
              <w:b/>
              <w:color w:val="FFFFFF"/>
              <w:sz w:val="16"/>
            </w:rPr>
            <w:t>DOCUMENTACIÓN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0A0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Orbitron" w:hAnsi="Orbitron"/>
      <w:b/>
      <w:bCs/>
      <w:color w:val="E5092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Orbitron" w:hAnsi="Orbitron"/>
      <w:b/>
      <w:bCs/>
      <w:color w:val="E509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Orbitron" w:hAnsi="Orbitron"/>
      <w:b/>
      <w:bCs/>
      <w:color w:val="0A0A0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Orbitron" w:hAnsi="Orbitron"/>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MLabel">
    <w:name w:val="DM Label"/>
    <w:rPr>
      <w:rFonts w:ascii="Orbitron" w:hAnsi="Orbitron"/>
      <w:b/>
      <w:color w:val="E509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