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8B2E2E"/>
          <w:sz w:val="56"/>
          <w:szCs w:val="56"/>
        </w:rPr>
        <w:t xml:space="preserve">Tío Pollo</w:t>
      </w:r>
    </w:p>
    <w:p>
      <w:pPr>
        <w:spacing w:after="40"/>
        <w:jc w:val="center"/>
      </w:pPr>
      <w:r>
        <w:rPr>
          <w:color w:val="2B2320"/>
          <w:sz w:val="32"/>
          <w:szCs w:val="32"/>
        </w:rPr>
        <w:t xml:space="preserve">Manual Técnico</w:t>
      </w:r>
    </w:p>
    <w:p>
      <w:pPr>
        <w:spacing w:after="1200"/>
        <w:jc w:val="center"/>
      </w:pPr>
      <w:r>
        <w:rPr>
          <w:color w:val="8a7d6f"/>
          <w:sz w:val="20"/>
          <w:szCs w:val="20"/>
        </w:rPr>
        <w:t xml:space="preserve">App de Recetario y Costeo — versión v1.13</w:t>
      </w:r>
    </w:p>
    <w:p>
      <w:r>
        <w:br w:type="page"/>
      </w:r>
    </w:p>
    <w:p>
      <w:pPr>
        <w:pStyle w:val="Heading1"/>
        <w:spacing w:after="160" w:before="360"/>
      </w:pPr>
      <w:r>
        <w:t xml:space="preserve">1. Introducción</w:t>
      </w:r>
    </w:p>
    <w:p>
      <w:pPr>
        <w:spacing w:after="140"/>
      </w:pPr>
      <w:r>
        <w:t xml:space="preserve">Este documento describe la arquitectura interna de la app Tío Pollo, para que cualquier persona (incluida una futura sesión de Claude) pueda entender cómo está construida, dónde vive cada pieza de lógica, y cómo extenderla sin romper lo existente.</w:t>
      </w:r>
    </w:p>
    <w:p>
      <w:pPr>
        <w:spacing w:after="140"/>
      </w:pPr>
      <w:r>
        <w:t xml:space="preserve">La app es un único archivo autocontenido: app.html. No hay backend propio, no hay build step, no hay dependencias que instalar. Todo el HTML, CSS y JavaScript vive en ese archivo, y los datos se guardan a través de la API de almacenamiento persistente que provee el entorno de artefactos de Claude.ai (window.storage).</w:t>
      </w:r>
    </w:p>
    <w:p>
      <w:pPr>
        <w:pStyle w:val="Heading1"/>
        <w:spacing w:after="160" w:before="360"/>
      </w:pPr>
      <w:r>
        <w:t xml:space="preserve">2. Arquitectura general</w:t>
      </w:r>
    </w:p>
    <w:p>
      <w:pPr>
        <w:spacing w:after="140"/>
      </w:pPr>
      <w:r>
        <w:t xml:space="preserve">La app sigue un patrón simple de "estado + render":</w:t>
      </w:r>
    </w:p>
    <w:p>
      <w:pPr>
        <w:pStyle w:val="ListParagraph"/>
        <w:numPr>
          <w:ilvl w:val="0"/>
          <w:numId w:val="1"/>
        </w:numPr>
        <w:spacing w:after="80"/>
      </w:pPr>
      <w:r>
        <w:t xml:space="preserve">Un objeto global DATA contiene todos los datos del negocio: ingredientes, recetas y proveedores.</w:t>
      </w:r>
    </w:p>
    <w:p>
      <w:pPr>
        <w:pStyle w:val="ListParagraph"/>
        <w:numPr>
          <w:ilvl w:val="0"/>
          <w:numId w:val="1"/>
        </w:numPr>
        <w:spacing w:after="80"/>
      </w:pPr>
      <w:r>
        <w:t xml:space="preserve">Un objeto global state contiene la vista activa, multiplicadores de escalado, el borrador en edición y el tema (claro/oscuro).</w:t>
      </w:r>
    </w:p>
    <w:p>
      <w:pPr>
        <w:pStyle w:val="ListParagraph"/>
        <w:numPr>
          <w:ilvl w:val="0"/>
          <w:numId w:val="1"/>
        </w:numPr>
        <w:spacing w:after="80"/>
      </w:pPr>
      <w:r>
        <w:t xml:space="preserve">Una función render() decide qué función de vista invocar según state.view, y esa función reescribe el contenido de #main.</w:t>
      </w:r>
    </w:p>
    <w:p>
      <w:pPr>
        <w:pStyle w:val="ListParagraph"/>
        <w:numPr>
          <w:ilvl w:val="0"/>
          <w:numId w:val="1"/>
        </w:numPr>
        <w:spacing w:after="80"/>
      </w:pPr>
      <w:r>
        <w:t xml:space="preserve">No hay ningún framework (React, Vue, etc.) — es DOM vanilla con innerHTML + listeners asignados después de insertar el HTML.</w:t>
      </w:r>
    </w:p>
    <w:p>
      <w:pPr>
        <w:spacing w:after="140"/>
      </w:pPr>
      <w:r>
        <w:t xml:space="preserve">Este patrón es deliberadamente simple: cada vista es una función que arma un string de HTML, lo inyecta, y luego conecta los eventos (onclick, oninput) a los elementos recién creados. Cualquier vista nueva debe seguir el mismo patrón.</w:t>
      </w:r>
    </w:p>
    <w:p>
      <w:pPr>
        <w:pStyle w:val="Heading1"/>
        <w:spacing w:after="160" w:before="360"/>
      </w:pPr>
      <w:r>
        <w:t xml:space="preserve">3. Estructura del archivo app.html</w:t>
      </w:r>
    </w:p>
    <w:p>
      <w:pPr>
        <w:spacing w:after="140"/>
      </w:pPr>
      <w:r>
        <w:t xml:space="preserve">De arriba hacia abajo, el archivo se organiza así:</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8B2E2E" w:val="clear"/>
          </w:tcPr>
          <w:p>
            <w:r>
              <w:rPr>
                <w:b/>
                <w:bCs/>
                <w:color w:val="FFFFFF"/>
                <w:sz w:val="19"/>
                <w:szCs w:val="19"/>
              </w:rPr>
              <w:t xml:space="preserve">Sección</w:t>
            </w:r>
          </w:p>
        </w:tc>
        <w:tc>
          <w:tcPr>
            <w:tcW w:type="dxa" w:w="7200"/>
            <w:shd w:fill="8B2E2E" w:val="clear"/>
          </w:tcPr>
          <w:p>
            <w:r>
              <w:rPr>
                <w:b/>
                <w:bCs/>
                <w:color w:val="FFFFFF"/>
                <w:sz w:val="19"/>
                <w:szCs w:val="19"/>
              </w:rPr>
              <w:t xml:space="preserve">Contenido</w:t>
            </w:r>
          </w:p>
        </w:tc>
      </w:tr>
      <w:tr>
        <w:tc>
          <w:tcPr>
            <w:tcW w:type="dxa" w:w="2400"/>
          </w:tcPr>
          <w:p>
            <w:r>
              <w:rPr>
                <w:b w:val="false"/>
                <w:bCs w:val="false"/>
                <w:color w:val="2B2320"/>
                <w:sz w:val="19"/>
                <w:szCs w:val="19"/>
              </w:rPr>
              <w:t xml:space="preserve">&lt;style&gt;</w:t>
            </w:r>
          </w:p>
        </w:tc>
        <w:tc>
          <w:tcPr>
            <w:tcW w:type="dxa" w:w="7200"/>
          </w:tcPr>
          <w:p>
            <w:r>
              <w:rPr>
                <w:b w:val="false"/>
                <w:bCs w:val="false"/>
                <w:color w:val="2B2320"/>
                <w:sz w:val="19"/>
                <w:szCs w:val="19"/>
              </w:rPr>
              <w:t xml:space="preserve">Todo el CSS: variables de marca, layout, componentes (botones, tarjetas, tablas), media queries de impresión y de móvil, variables de modo oscuro.</w:t>
            </w:r>
          </w:p>
        </w:tc>
      </w:tr>
      <w:tr>
        <w:tc>
          <w:tcPr>
            <w:tcW w:type="dxa" w:w="2400"/>
          </w:tcPr>
          <w:p>
            <w:r>
              <w:rPr>
                <w:b w:val="false"/>
                <w:bCs w:val="false"/>
                <w:color w:val="2B2320"/>
                <w:sz w:val="19"/>
                <w:szCs w:val="19"/>
              </w:rPr>
              <w:t xml:space="preserve">LOGO_B64 / LOGO_SRC</w:t>
            </w:r>
          </w:p>
        </w:tc>
        <w:tc>
          <w:tcPr>
            <w:tcW w:type="dxa" w:w="7200"/>
          </w:tcPr>
          <w:p>
            <w:r>
              <w:rPr>
                <w:b w:val="false"/>
                <w:bCs w:val="false"/>
                <w:color w:val="2B2320"/>
                <w:sz w:val="19"/>
                <w:szCs w:val="19"/>
              </w:rPr>
              <w:t xml:space="preserve">El logo de Tío Pollo embebido en Base64, para que la app funcione sin depender de un archivo de imagen externo.</w:t>
            </w:r>
          </w:p>
        </w:tc>
      </w:tr>
      <w:tr>
        <w:tc>
          <w:tcPr>
            <w:tcW w:type="dxa" w:w="2400"/>
          </w:tcPr>
          <w:p>
            <w:r>
              <w:rPr>
                <w:b w:val="false"/>
                <w:bCs w:val="false"/>
                <w:color w:val="2B2320"/>
                <w:sz w:val="19"/>
                <w:szCs w:val="19"/>
              </w:rPr>
              <w:t xml:space="preserve">ICON</w:t>
            </w:r>
          </w:p>
        </w:tc>
        <w:tc>
          <w:tcPr>
            <w:tcW w:type="dxa" w:w="7200"/>
          </w:tcPr>
          <w:p>
            <w:r>
              <w:rPr>
                <w:b w:val="false"/>
                <w:bCs w:val="false"/>
                <w:color w:val="2B2320"/>
                <w:sz w:val="19"/>
                <w:szCs w:val="19"/>
              </w:rPr>
              <w:t xml:space="preserve">Objeto con los íconos SVG de línea usados en el menú (recetas, ingredientes, proveedores, sol, luna, check, alerta, buscarVacío).</w:t>
            </w:r>
          </w:p>
        </w:tc>
      </w:tr>
      <w:tr>
        <w:tc>
          <w:tcPr>
            <w:tcW w:type="dxa" w:w="2400"/>
          </w:tcPr>
          <w:p>
            <w:r>
              <w:rPr>
                <w:b w:val="false"/>
                <w:bCs w:val="false"/>
                <w:color w:val="2B2320"/>
                <w:sz w:val="19"/>
                <w:szCs w:val="19"/>
              </w:rPr>
              <w:t xml:space="preserve">UNIT_LABEL / STORAGE_KEY / THEME_KEY / APP_VERSION</w:t>
            </w:r>
          </w:p>
        </w:tc>
        <w:tc>
          <w:tcPr>
            <w:tcW w:type="dxa" w:w="7200"/>
          </w:tcPr>
          <w:p>
            <w:r>
              <w:rPr>
                <w:b w:val="false"/>
                <w:bCs w:val="false"/>
                <w:color w:val="2B2320"/>
                <w:sz w:val="19"/>
                <w:szCs w:val="19"/>
              </w:rPr>
              <w:t xml:space="preserve">Constantes globales.</w:t>
            </w:r>
          </w:p>
        </w:tc>
      </w:tr>
      <w:tr>
        <w:tc>
          <w:tcPr>
            <w:tcW w:type="dxa" w:w="2400"/>
          </w:tcPr>
          <w:p>
            <w:r>
              <w:rPr>
                <w:b w:val="false"/>
                <w:bCs w:val="false"/>
                <w:color w:val="2B2320"/>
                <w:sz w:val="19"/>
                <w:szCs w:val="19"/>
              </w:rPr>
              <w:t xml:space="preserve">seedData()</w:t>
            </w:r>
          </w:p>
        </w:tc>
        <w:tc>
          <w:tcPr>
            <w:tcW w:type="dxa" w:w="7200"/>
          </w:tcPr>
          <w:p>
            <w:r>
              <w:rPr>
                <w:b w:val="false"/>
                <w:bCs w:val="false"/>
                <w:color w:val="2B2320"/>
                <w:sz w:val="19"/>
                <w:szCs w:val="19"/>
              </w:rPr>
              <w:t xml:space="preserve">Datos de ejemplo con los que arranca la app la primera vez (ingredientes, las 11 recetas FT-01 a FT-11, proveedores vacío).</w:t>
            </w:r>
          </w:p>
        </w:tc>
      </w:tr>
      <w:tr>
        <w:tc>
          <w:tcPr>
            <w:tcW w:type="dxa" w:w="2400"/>
          </w:tcPr>
          <w:p>
            <w:r>
              <w:rPr>
                <w:b w:val="false"/>
                <w:bCs w:val="false"/>
                <w:color w:val="2B2320"/>
                <w:sz w:val="19"/>
                <w:szCs w:val="19"/>
              </w:rPr>
              <w:t xml:space="preserve">DATA / state</w:t>
            </w:r>
          </w:p>
        </w:tc>
        <w:tc>
          <w:tcPr>
            <w:tcW w:type="dxa" w:w="7200"/>
          </w:tcPr>
          <w:p>
            <w:r>
              <w:rPr>
                <w:b w:val="false"/>
                <w:bCs w:val="false"/>
                <w:color w:val="2B2320"/>
                <w:sz w:val="19"/>
                <w:szCs w:val="19"/>
              </w:rPr>
              <w:t xml:space="preserve">Estado global de la aplicación.</w:t>
            </w:r>
          </w:p>
        </w:tc>
      </w:tr>
      <w:tr>
        <w:tc>
          <w:tcPr>
            <w:tcW w:type="dxa" w:w="2400"/>
          </w:tcPr>
          <w:p>
            <w:r>
              <w:rPr>
                <w:b w:val="false"/>
                <w:bCs w:val="false"/>
                <w:color w:val="2B2320"/>
                <w:sz w:val="19"/>
                <w:szCs w:val="19"/>
              </w:rPr>
              <w:t xml:space="preserve">loadData() / saveData()</w:t>
            </w:r>
          </w:p>
        </w:tc>
        <w:tc>
          <w:tcPr>
            <w:tcW w:type="dxa" w:w="7200"/>
          </w:tcPr>
          <w:p>
            <w:r>
              <w:rPr>
                <w:b w:val="false"/>
                <w:bCs w:val="false"/>
                <w:color w:val="2B2320"/>
                <w:sz w:val="19"/>
                <w:szCs w:val="19"/>
              </w:rPr>
              <w:t xml:space="preserve">Lectura y escritura del estado completo contra window.storage.</w:t>
            </w:r>
          </w:p>
        </w:tc>
      </w:tr>
      <w:tr>
        <w:tc>
          <w:tcPr>
            <w:tcW w:type="dxa" w:w="2400"/>
          </w:tcPr>
          <w:p>
            <w:r>
              <w:rPr>
                <w:b w:val="false"/>
                <w:bCs w:val="false"/>
                <w:color w:val="2B2320"/>
                <w:sz w:val="19"/>
                <w:szCs w:val="19"/>
              </w:rPr>
              <w:t xml:space="preserve">Tema claro/oscuro</w:t>
            </w:r>
          </w:p>
        </w:tc>
        <w:tc>
          <w:tcPr>
            <w:tcW w:type="dxa" w:w="7200"/>
          </w:tcPr>
          <w:p>
            <w:r>
              <w:rPr>
                <w:b w:val="false"/>
                <w:bCs w:val="false"/>
                <w:color w:val="2B2320"/>
                <w:sz w:val="19"/>
                <w:szCs w:val="19"/>
              </w:rPr>
              <w:t xml:space="preserve">applyTheme(), loadTheme(), toggleTheme().</w:t>
            </w:r>
          </w:p>
        </w:tc>
      </w:tr>
      <w:tr>
        <w:tc>
          <w:tcPr>
            <w:tcW w:type="dxa" w:w="2400"/>
          </w:tcPr>
          <w:p>
            <w:r>
              <w:rPr>
                <w:b w:val="false"/>
                <w:bCs w:val="false"/>
                <w:color w:val="2B2320"/>
                <w:sz w:val="19"/>
                <w:szCs w:val="19"/>
              </w:rPr>
              <w:t xml:space="preserve">Funciones de vista</w:t>
            </w:r>
          </w:p>
        </w:tc>
        <w:tc>
          <w:tcPr>
            <w:tcW w:type="dxa" w:w="7200"/>
          </w:tcPr>
          <w:p>
            <w:r>
              <w:rPr>
                <w:b w:val="false"/>
                <w:bCs w:val="false"/>
                <w:color w:val="2B2320"/>
                <w:sz w:val="19"/>
                <w:szCs w:val="19"/>
              </w:rPr>
              <w:t xml:space="preserve">renderSidebar, renderRecetas, renderRecetaDetalle, renderRecetaEdit, renderIngredientes, renderProveedores, renderProveedorEdit, renderLibro, renderEscandallo, renderEscandalloReceta.</w:t>
            </w:r>
          </w:p>
        </w:tc>
      </w:tr>
      <w:tr>
        <w:tc>
          <w:tcPr>
            <w:tcW w:type="dxa" w:w="2400"/>
          </w:tcPr>
          <w:p>
            <w:r>
              <w:rPr>
                <w:b w:val="false"/>
                <w:bCs w:val="false"/>
                <w:color w:val="2B2320"/>
                <w:sz w:val="19"/>
                <w:szCs w:val="19"/>
              </w:rPr>
              <w:t xml:space="preserve">Funciones de costeo</w:t>
            </w:r>
          </w:p>
        </w:tc>
        <w:tc>
          <w:tcPr>
            <w:tcW w:type="dxa" w:w="7200"/>
          </w:tcPr>
          <w:p>
            <w:r>
              <w:rPr>
                <w:b w:val="false"/>
                <w:bCs w:val="false"/>
                <w:color w:val="2B2320"/>
                <w:sz w:val="19"/>
                <w:szCs w:val="19"/>
              </w:rPr>
              <w:t xml:space="preserve">breakdown(), subCostPerGram() — el corazón del cálculo de costos.</w:t>
            </w:r>
          </w:p>
        </w:tc>
      </w:tr>
      <w:tr>
        <w:tc>
          <w:tcPr>
            <w:tcW w:type="dxa" w:w="2400"/>
          </w:tcPr>
          <w:p>
            <w:r>
              <w:rPr>
                <w:b w:val="false"/>
                <w:bCs w:val="false"/>
                <w:color w:val="2B2320"/>
                <w:sz w:val="19"/>
                <w:szCs w:val="19"/>
              </w:rPr>
              <w:t xml:space="preserve">Funciones de exportación</w:t>
            </w:r>
          </w:p>
        </w:tc>
        <w:tc>
          <w:tcPr>
            <w:tcW w:type="dxa" w:w="7200"/>
          </w:tcPr>
          <w:p>
            <w:r>
              <w:rPr>
                <w:b w:val="false"/>
                <w:bCs w:val="false"/>
                <w:color w:val="2B2320"/>
                <w:sz w:val="19"/>
                <w:szCs w:val="19"/>
              </w:rPr>
              <w:t xml:space="preserve">buildIngredientesAOA, buildEscandalloGeneralAOA, buildRecipeAOA, exportEscandalloXlsx (usan la librería SheetJS/xlsx cargada por CDN).</w:t>
            </w:r>
          </w:p>
        </w:tc>
      </w:tr>
      <w:tr>
        <w:tc>
          <w:tcPr>
            <w:tcW w:type="dxa" w:w="2400"/>
          </w:tcPr>
          <w:p>
            <w:r>
              <w:rPr>
                <w:b w:val="false"/>
                <w:bCs w:val="false"/>
                <w:color w:val="2B2320"/>
                <w:sz w:val="19"/>
                <w:szCs w:val="19"/>
              </w:rPr>
              <w:t xml:space="preserve">Utilidades</w:t>
            </w:r>
          </w:p>
        </w:tc>
        <w:tc>
          <w:tcPr>
            <w:tcW w:type="dxa" w:w="7200"/>
          </w:tcPr>
          <w:p>
            <w:r>
              <w:rPr>
                <w:b w:val="false"/>
                <w:bCs w:val="false"/>
                <w:color w:val="2B2320"/>
                <w:sz w:val="19"/>
                <w:szCs w:val="19"/>
              </w:rPr>
              <w:t xml:space="preserve">fmt, fmtQty, getIng, getRecipe, uid, escapeHtml, escapeAttr, round2, round4, ingCode, subCode.</w:t>
            </w:r>
          </w:p>
        </w:tc>
      </w:tr>
      <w:tr>
        <w:tc>
          <w:tcPr>
            <w:tcW w:type="dxa" w:w="2400"/>
          </w:tcPr>
          <w:p>
            <w:r>
              <w:rPr>
                <w:b w:val="false"/>
                <w:bCs w:val="false"/>
                <w:color w:val="2B2320"/>
                <w:sz w:val="19"/>
                <w:szCs w:val="19"/>
              </w:rPr>
              <w:t xml:space="preserve">render() / skeletonLoader()</w:t>
            </w:r>
          </w:p>
        </w:tc>
        <w:tc>
          <w:tcPr>
            <w:tcW w:type="dxa" w:w="7200"/>
          </w:tcPr>
          <w:p>
            <w:r>
              <w:rPr>
                <w:b w:val="false"/>
                <w:bCs w:val="false"/>
                <w:color w:val="2B2320"/>
                <w:sz w:val="19"/>
                <w:szCs w:val="19"/>
              </w:rPr>
              <w:t xml:space="preserve">Router principal y pantalla de carga.</w:t>
            </w:r>
          </w:p>
        </w:tc>
      </w:tr>
      <w:tr>
        <w:tc>
          <w:tcPr>
            <w:tcW w:type="dxa" w:w="2400"/>
          </w:tcPr>
          <w:p>
            <w:r>
              <w:rPr>
                <w:b w:val="false"/>
                <w:bCs w:val="false"/>
                <w:color w:val="2B2320"/>
                <w:sz w:val="19"/>
                <w:szCs w:val="19"/>
              </w:rPr>
              <w:t xml:space="preserve">loadData();</w:t>
            </w:r>
          </w:p>
        </w:tc>
        <w:tc>
          <w:tcPr>
            <w:tcW w:type="dxa" w:w="7200"/>
          </w:tcPr>
          <w:p>
            <w:r>
              <w:rPr>
                <w:b w:val="false"/>
                <w:bCs w:val="false"/>
                <w:color w:val="2B2320"/>
                <w:sz w:val="19"/>
                <w:szCs w:val="19"/>
              </w:rPr>
              <w:t xml:space="preserve">Última línea del script: arranca la app.</w:t>
            </w:r>
          </w:p>
        </w:tc>
      </w:tr>
    </w:tbl>
    <w:p>
      <w:pPr>
        <w:pStyle w:val="Heading1"/>
        <w:spacing w:after="160" w:before="360"/>
      </w:pPr>
      <w:r>
        <w:t xml:space="preserve">4. Modelo de datos</w:t>
      </w:r>
    </w:p>
    <w:p>
      <w:pPr>
        <w:spacing w:after="140"/>
      </w:pPr>
      <w:r>
        <w:t xml:space="preserve">Todo vive en el objeto DATA, guardado como JSON bajo la clave tio_pollo_data (almacenamiento compartido, ver sección 5).</w:t>
      </w:r>
    </w:p>
    <w:p>
      <w:pPr>
        <w:pStyle w:val="Heading2"/>
        <w:spacing w:after="120" w:before="260"/>
      </w:pPr>
      <w:r>
        <w:t xml:space="preserve">4.1 Ingrediente (DATA.ingredients[])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800"/>
      </w:tblGrid>
      <w:tr>
        <w:trPr>
          <w:tblHeader/>
        </w:trPr>
        <w:tc>
          <w:tcPr>
            <w:tcW w:type="dxa" w:w="1800"/>
            <w:shd w:fill="8B2E2E" w:val="clear"/>
          </w:tcPr>
          <w:p>
            <w:r>
              <w:rPr>
                <w:b/>
                <w:bCs/>
                <w:color w:val="FFFFFF"/>
                <w:sz w:val="19"/>
                <w:szCs w:val="19"/>
              </w:rPr>
              <w:t xml:space="preserve">Campo</w:t>
            </w:r>
          </w:p>
        </w:tc>
        <w:tc>
          <w:tcPr>
            <w:tcW w:type="dxa" w:w="1800"/>
            <w:shd w:fill="8B2E2E" w:val="clear"/>
          </w:tcPr>
          <w:p>
            <w:r>
              <w:rPr>
                <w:b/>
                <w:bCs/>
                <w:color w:val="FFFFFF"/>
                <w:sz w:val="19"/>
                <w:szCs w:val="19"/>
              </w:rPr>
              <w:t xml:space="preserve">Tipo</w:t>
            </w:r>
          </w:p>
        </w:tc>
        <w:tc>
          <w:tcPr>
            <w:tcW w:type="dxa" w:w="5800"/>
            <w:shd w:fill="8B2E2E" w:val="clear"/>
          </w:tcPr>
          <w:p>
            <w:r>
              <w:rPr>
                <w:b/>
                <w:bCs/>
                <w:color w:val="FFFFFF"/>
                <w:sz w:val="19"/>
                <w:szCs w:val="19"/>
              </w:rPr>
              <w:t xml:space="preserve">Descripción</w:t>
            </w:r>
          </w:p>
        </w:tc>
      </w:tr>
      <w:tr>
        <w:tc>
          <w:tcPr>
            <w:tcW w:type="dxa" w:w="1800"/>
          </w:tcPr>
          <w:p>
            <w:r>
              <w:rPr>
                <w:b w:val="false"/>
                <w:bCs w:val="false"/>
                <w:color w:val="2B2320"/>
                <w:sz w:val="19"/>
                <w:szCs w:val="19"/>
              </w:rPr>
              <w:t xml:space="preserve">id</w:t>
            </w:r>
          </w:p>
        </w:tc>
        <w:tc>
          <w:tcPr>
            <w:tcW w:type="dxa" w:w="1800"/>
          </w:tcPr>
          <w:p>
            <w:r>
              <w:rPr>
                <w:b w:val="false"/>
                <w:bCs w:val="false"/>
                <w:color w:val="2B2320"/>
                <w:sz w:val="19"/>
                <w:szCs w:val="19"/>
              </w:rPr>
              <w:t xml:space="preserve">string</w:t>
            </w:r>
          </w:p>
        </w:tc>
        <w:tc>
          <w:tcPr>
            <w:tcW w:type="dxa" w:w="5800"/>
          </w:tcPr>
          <w:p>
            <w:r>
              <w:rPr>
                <w:b w:val="false"/>
                <w:bCs w:val="false"/>
                <w:color w:val="2B2320"/>
                <w:sz w:val="19"/>
                <w:szCs w:val="19"/>
              </w:rPr>
              <w:t xml:space="preserve">Identificador único, en snake_case (ej. harina_trigo).</w:t>
            </w:r>
          </w:p>
        </w:tc>
      </w:tr>
      <w:tr>
        <w:tc>
          <w:tcPr>
            <w:tcW w:type="dxa" w:w="1800"/>
          </w:tcPr>
          <w:p>
            <w:r>
              <w:rPr>
                <w:b w:val="false"/>
                <w:bCs w:val="false"/>
                <w:color w:val="2B2320"/>
                <w:sz w:val="19"/>
                <w:szCs w:val="19"/>
              </w:rPr>
              <w:t xml:space="preserve">name</w:t>
            </w:r>
          </w:p>
        </w:tc>
        <w:tc>
          <w:tcPr>
            <w:tcW w:type="dxa" w:w="1800"/>
          </w:tcPr>
          <w:p>
            <w:r>
              <w:rPr>
                <w:b w:val="false"/>
                <w:bCs w:val="false"/>
                <w:color w:val="2B2320"/>
                <w:sz w:val="19"/>
                <w:szCs w:val="19"/>
              </w:rPr>
              <w:t xml:space="preserve">string</w:t>
            </w:r>
          </w:p>
        </w:tc>
        <w:tc>
          <w:tcPr>
            <w:tcW w:type="dxa" w:w="5800"/>
          </w:tcPr>
          <w:p>
            <w:r>
              <w:rPr>
                <w:b w:val="false"/>
                <w:bCs w:val="false"/>
                <w:color w:val="2B2320"/>
                <w:sz w:val="19"/>
                <w:szCs w:val="19"/>
              </w:rPr>
              <w:t xml:space="preserve">Nombre visible del ingrediente.</w:t>
            </w:r>
          </w:p>
        </w:tc>
      </w:tr>
      <w:tr>
        <w:tc>
          <w:tcPr>
            <w:tcW w:type="dxa" w:w="1800"/>
          </w:tcPr>
          <w:p>
            <w:r>
              <w:rPr>
                <w:b w:val="false"/>
                <w:bCs w:val="false"/>
                <w:color w:val="2B2320"/>
                <w:sz w:val="19"/>
                <w:szCs w:val="19"/>
              </w:rPr>
              <w:t xml:space="preserve">unit</w:t>
            </w:r>
          </w:p>
        </w:tc>
        <w:tc>
          <w:tcPr>
            <w:tcW w:type="dxa" w:w="1800"/>
          </w:tcPr>
          <w:p>
            <w:r>
              <w:rPr>
                <w:b w:val="false"/>
                <w:bCs w:val="false"/>
                <w:color w:val="2B2320"/>
                <w:sz w:val="19"/>
                <w:szCs w:val="19"/>
              </w:rPr>
              <w:t xml:space="preserve">'g' | 'litro' | 'unidad'</w:t>
            </w:r>
          </w:p>
        </w:tc>
        <w:tc>
          <w:tcPr>
            <w:tcW w:type="dxa" w:w="5800"/>
          </w:tcPr>
          <w:p>
            <w:r>
              <w:rPr>
                <w:b w:val="false"/>
                <w:bCs w:val="false"/>
                <w:color w:val="2B2320"/>
                <w:sz w:val="19"/>
                <w:szCs w:val="19"/>
              </w:rPr>
              <w:t xml:space="preserve">Unidad de medida base. g = gramos, litro = para leche/agua/vinagre, unidad = para huevo.</w:t>
            </w:r>
          </w:p>
        </w:tc>
      </w:tr>
      <w:tr>
        <w:tc>
          <w:tcPr>
            <w:tcW w:type="dxa" w:w="1800"/>
          </w:tcPr>
          <w:p>
            <w:r>
              <w:rPr>
                <w:b w:val="false"/>
                <w:bCs w:val="false"/>
                <w:color w:val="2B2320"/>
                <w:sz w:val="19"/>
                <w:szCs w:val="19"/>
              </w:rPr>
              <w:t xml:space="preserve">price</w:t>
            </w:r>
          </w:p>
        </w:tc>
        <w:tc>
          <w:tcPr>
            <w:tcW w:type="dxa" w:w="1800"/>
          </w:tcPr>
          <w:p>
            <w:r>
              <w:rPr>
                <w:b w:val="false"/>
                <w:bCs w:val="false"/>
                <w:color w:val="2B2320"/>
                <w:sz w:val="19"/>
                <w:szCs w:val="19"/>
              </w:rPr>
              <w:t xml:space="preserve">number</w:t>
            </w:r>
          </w:p>
        </w:tc>
        <w:tc>
          <w:tcPr>
            <w:tcW w:type="dxa" w:w="5800"/>
          </w:tcPr>
          <w:p>
            <w:r>
              <w:rPr>
                <w:b w:val="false"/>
                <w:bCs w:val="false"/>
                <w:color w:val="2B2320"/>
                <w:sz w:val="19"/>
                <w:szCs w:val="19"/>
              </w:rPr>
              <w:t xml:space="preserve">Precio en euros por unidad (por gramo, por litro o por unidad, según corresponda).</w:t>
            </w:r>
          </w:p>
        </w:tc>
      </w:tr>
    </w:tbl>
    <w:p>
      <w:pPr>
        <w:pStyle w:val="Heading2"/>
        <w:spacing w:after="120" w:before="260"/>
      </w:pPr>
      <w:r>
        <w:t xml:space="preserve">4.2 Receta (DATA.recipes[])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200"/>
      </w:tblGrid>
      <w:tr>
        <w:trPr>
          <w:tblHeader/>
        </w:trPr>
        <w:tc>
          <w:tcPr>
            <w:tcW w:type="dxa" w:w="1600"/>
            <w:shd w:fill="8B2E2E" w:val="clear"/>
          </w:tcPr>
          <w:p>
            <w:r>
              <w:rPr>
                <w:b/>
                <w:bCs/>
                <w:color w:val="FFFFFF"/>
                <w:sz w:val="19"/>
                <w:szCs w:val="19"/>
              </w:rPr>
              <w:t xml:space="preserve">Campo</w:t>
            </w:r>
          </w:p>
        </w:tc>
        <w:tc>
          <w:tcPr>
            <w:tcW w:type="dxa" w:w="1600"/>
            <w:shd w:fill="8B2E2E" w:val="clear"/>
          </w:tcPr>
          <w:p>
            <w:r>
              <w:rPr>
                <w:b/>
                <w:bCs/>
                <w:color w:val="FFFFFF"/>
                <w:sz w:val="19"/>
                <w:szCs w:val="19"/>
              </w:rPr>
              <w:t xml:space="preserve">Tipo</w:t>
            </w:r>
          </w:p>
        </w:tc>
        <w:tc>
          <w:tcPr>
            <w:tcW w:type="dxa" w:w="6200"/>
            <w:shd w:fill="8B2E2E" w:val="clear"/>
          </w:tcPr>
          <w:p>
            <w:r>
              <w:rPr>
                <w:b/>
                <w:bCs/>
                <w:color w:val="FFFFFF"/>
                <w:sz w:val="19"/>
                <w:szCs w:val="19"/>
              </w:rPr>
              <w:t xml:space="preserve">Descripción</w:t>
            </w:r>
          </w:p>
        </w:tc>
      </w:tr>
      <w:tr>
        <w:tc>
          <w:tcPr>
            <w:tcW w:type="dxa" w:w="1600"/>
          </w:tcPr>
          <w:p>
            <w:r>
              <w:rPr>
                <w:b w:val="false"/>
                <w:bCs w:val="false"/>
                <w:color w:val="2B2320"/>
                <w:sz w:val="19"/>
                <w:szCs w:val="19"/>
              </w:rPr>
              <w:t xml:space="preserve">code</w:t>
            </w:r>
          </w:p>
        </w:tc>
        <w:tc>
          <w:tcPr>
            <w:tcW w:type="dxa" w:w="1600"/>
          </w:tcPr>
          <w:p>
            <w:r>
              <w:rPr>
                <w:b w:val="false"/>
                <w:bCs w:val="false"/>
                <w:color w:val="2B2320"/>
                <w:sz w:val="19"/>
                <w:szCs w:val="19"/>
              </w:rPr>
              <w:t xml:space="preserve">string</w:t>
            </w:r>
          </w:p>
        </w:tc>
        <w:tc>
          <w:tcPr>
            <w:tcW w:type="dxa" w:w="6200"/>
          </w:tcPr>
          <w:p>
            <w:r>
              <w:rPr>
                <w:b w:val="false"/>
                <w:bCs w:val="false"/>
                <w:color w:val="2B2320"/>
                <w:sz w:val="19"/>
                <w:szCs w:val="19"/>
              </w:rPr>
              <w:t xml:space="preserve">Código único, formato FT-XX.</w:t>
            </w:r>
          </w:p>
        </w:tc>
      </w:tr>
      <w:tr>
        <w:tc>
          <w:tcPr>
            <w:tcW w:type="dxa" w:w="1600"/>
          </w:tcPr>
          <w:p>
            <w:r>
              <w:rPr>
                <w:b w:val="false"/>
                <w:bCs w:val="false"/>
                <w:color w:val="2B2320"/>
                <w:sz w:val="19"/>
                <w:szCs w:val="19"/>
              </w:rPr>
              <w:t xml:space="preserve">name</w:t>
            </w:r>
          </w:p>
        </w:tc>
        <w:tc>
          <w:tcPr>
            <w:tcW w:type="dxa" w:w="1600"/>
          </w:tcPr>
          <w:p>
            <w:r>
              <w:rPr>
                <w:b w:val="false"/>
                <w:bCs w:val="false"/>
                <w:color w:val="2B2320"/>
                <w:sz w:val="19"/>
                <w:szCs w:val="19"/>
              </w:rPr>
              <w:t xml:space="preserve">string</w:t>
            </w:r>
          </w:p>
        </w:tc>
        <w:tc>
          <w:tcPr>
            <w:tcW w:type="dxa" w:w="6200"/>
          </w:tcPr>
          <w:p>
            <w:r>
              <w:rPr>
                <w:b w:val="false"/>
                <w:bCs w:val="false"/>
                <w:color w:val="2B2320"/>
                <w:sz w:val="19"/>
                <w:szCs w:val="19"/>
              </w:rPr>
              <w:t xml:space="preserve">Nombre de la receta.</w:t>
            </w:r>
          </w:p>
        </w:tc>
      </w:tr>
      <w:tr>
        <w:tc>
          <w:tcPr>
            <w:tcW w:type="dxa" w:w="1600"/>
          </w:tcPr>
          <w:p>
            <w:r>
              <w:rPr>
                <w:b w:val="false"/>
                <w:bCs w:val="false"/>
                <w:color w:val="2B2320"/>
                <w:sz w:val="19"/>
                <w:szCs w:val="19"/>
              </w:rPr>
              <w:t xml:space="preserve">cat</w:t>
            </w:r>
          </w:p>
        </w:tc>
        <w:tc>
          <w:tcPr>
            <w:tcW w:type="dxa" w:w="1600"/>
          </w:tcPr>
          <w:p>
            <w:r>
              <w:rPr>
                <w:b w:val="false"/>
                <w:bCs w:val="false"/>
                <w:color w:val="2B2320"/>
                <w:sz w:val="19"/>
                <w:szCs w:val="19"/>
              </w:rPr>
              <w:t xml:space="preserve">string</w:t>
            </w:r>
          </w:p>
        </w:tc>
        <w:tc>
          <w:tcPr>
            <w:tcW w:type="dxa" w:w="6200"/>
          </w:tcPr>
          <w:p>
            <w:r>
              <w:rPr>
                <w:b w:val="false"/>
                <w:bCs w:val="false"/>
                <w:color w:val="2B2320"/>
                <w:sz w:val="19"/>
                <w:szCs w:val="19"/>
              </w:rPr>
              <w:t xml:space="preserve">Categoría (ej. "Base / Empanizado", "Salsa").</w:t>
            </w:r>
          </w:p>
        </w:tc>
      </w:tr>
      <w:tr>
        <w:tc>
          <w:tcPr>
            <w:tcW w:type="dxa" w:w="1600"/>
          </w:tcPr>
          <w:p>
            <w:r>
              <w:rPr>
                <w:b w:val="false"/>
                <w:bCs w:val="false"/>
                <w:color w:val="2B2320"/>
                <w:sz w:val="19"/>
                <w:szCs w:val="19"/>
              </w:rPr>
              <w:t xml:space="preserve">type</w:t>
            </w:r>
          </w:p>
        </w:tc>
        <w:tc>
          <w:tcPr>
            <w:tcW w:type="dxa" w:w="1600"/>
          </w:tcPr>
          <w:p>
            <w:r>
              <w:rPr>
                <w:b w:val="false"/>
                <w:bCs w:val="false"/>
                <w:color w:val="2B2320"/>
                <w:sz w:val="19"/>
                <w:szCs w:val="19"/>
              </w:rPr>
              <w:t xml:space="preserve">'sub' | 'final'</w:t>
            </w:r>
          </w:p>
        </w:tc>
        <w:tc>
          <w:tcPr>
            <w:tcW w:type="dxa" w:w="6200"/>
          </w:tcPr>
          <w:p>
            <w:r>
              <w:rPr>
                <w:b w:val="false"/>
                <w:bCs w:val="false"/>
                <w:color w:val="2B2320"/>
                <w:sz w:val="19"/>
                <w:szCs w:val="19"/>
              </w:rPr>
              <w:t xml:space="preserve">sub = sub-receta usada como ingrediente de otra receta. final = receta terminada.</w:t>
            </w:r>
          </w:p>
        </w:tc>
      </w:tr>
      <w:tr>
        <w:tc>
          <w:tcPr>
            <w:tcW w:type="dxa" w:w="1600"/>
          </w:tcPr>
          <w:p>
            <w:r>
              <w:rPr>
                <w:b w:val="false"/>
                <w:bCs w:val="false"/>
                <w:color w:val="2B2320"/>
                <w:sz w:val="19"/>
                <w:szCs w:val="19"/>
              </w:rPr>
              <w:t xml:space="preserve">terrina</w:t>
            </w:r>
          </w:p>
        </w:tc>
        <w:tc>
          <w:tcPr>
            <w:tcW w:type="dxa" w:w="1600"/>
          </w:tcPr>
          <w:p>
            <w:r>
              <w:rPr>
                <w:b w:val="false"/>
                <w:bCs w:val="false"/>
                <w:color w:val="2B2320"/>
                <w:sz w:val="19"/>
                <w:szCs w:val="19"/>
              </w:rPr>
              <w:t xml:space="preserve">number | null</w:t>
            </w:r>
          </w:p>
        </w:tc>
        <w:tc>
          <w:tcPr>
            <w:tcW w:type="dxa" w:w="6200"/>
          </w:tcPr>
          <w:p>
            <w:r>
              <w:rPr>
                <w:b w:val="false"/>
                <w:bCs w:val="false"/>
                <w:color w:val="2B2320"/>
                <w:sz w:val="19"/>
                <w:szCs w:val="19"/>
              </w:rPr>
              <w:t xml:space="preserve">Gramaje de la terrina de empaque, si aplica (60 g o 20 g). null si no se empaqueta en terrina.</w:t>
            </w:r>
          </w:p>
        </w:tc>
      </w:tr>
      <w:tr>
        <w:tc>
          <w:tcPr>
            <w:tcW w:type="dxa" w:w="1600"/>
          </w:tcPr>
          <w:p>
            <w:r>
              <w:rPr>
                <w:b w:val="false"/>
                <w:bCs w:val="false"/>
                <w:color w:val="2B2320"/>
                <w:sz w:val="19"/>
                <w:szCs w:val="19"/>
              </w:rPr>
              <w:t xml:space="preserve">notes</w:t>
            </w:r>
          </w:p>
        </w:tc>
        <w:tc>
          <w:tcPr>
            <w:tcW w:type="dxa" w:w="1600"/>
          </w:tcPr>
          <w:p>
            <w:r>
              <w:rPr>
                <w:b w:val="false"/>
                <w:bCs w:val="false"/>
                <w:color w:val="2B2320"/>
                <w:sz w:val="19"/>
                <w:szCs w:val="19"/>
              </w:rPr>
              <w:t xml:space="preserve">string</w:t>
            </w:r>
          </w:p>
        </w:tc>
        <w:tc>
          <w:tcPr>
            <w:tcW w:type="dxa" w:w="6200"/>
          </w:tcPr>
          <w:p>
            <w:r>
              <w:rPr>
                <w:b w:val="false"/>
                <w:bCs w:val="false"/>
                <w:color w:val="2B2320"/>
                <w:sz w:val="19"/>
                <w:szCs w:val="19"/>
              </w:rPr>
              <w:t xml:space="preserve">Notas libres (ej. de qué receta depende, para qué se usa).</w:t>
            </w:r>
          </w:p>
        </w:tc>
      </w:tr>
      <w:tr>
        <w:tc>
          <w:tcPr>
            <w:tcW w:type="dxa" w:w="1600"/>
          </w:tcPr>
          <w:p>
            <w:r>
              <w:rPr>
                <w:b w:val="false"/>
                <w:bCs w:val="false"/>
                <w:color w:val="2B2320"/>
                <w:sz w:val="19"/>
                <w:szCs w:val="19"/>
              </w:rPr>
              <w:t xml:space="preserve">lines</w:t>
            </w:r>
          </w:p>
        </w:tc>
        <w:tc>
          <w:tcPr>
            <w:tcW w:type="dxa" w:w="1600"/>
          </w:tcPr>
          <w:p>
            <w:r>
              <w:rPr>
                <w:b w:val="false"/>
                <w:bCs w:val="false"/>
                <w:color w:val="2B2320"/>
                <w:sz w:val="19"/>
                <w:szCs w:val="19"/>
              </w:rPr>
              <w:t xml:space="preserve">array</w:t>
            </w:r>
          </w:p>
        </w:tc>
        <w:tc>
          <w:tcPr>
            <w:tcW w:type="dxa" w:w="6200"/>
          </w:tcPr>
          <w:p>
            <w:r>
              <w:rPr>
                <w:b w:val="false"/>
                <w:bCs w:val="false"/>
                <w:color w:val="2B2320"/>
                <w:sz w:val="19"/>
                <w:szCs w:val="19"/>
              </w:rPr>
              <w:t xml:space="preserve">Líneas de ingredientes/sub-recetas de la receta (ver 4.3).</w:t>
            </w:r>
          </w:p>
        </w:tc>
      </w:tr>
      <w:tr>
        <w:tc>
          <w:tcPr>
            <w:tcW w:type="dxa" w:w="1600"/>
          </w:tcPr>
          <w:p>
            <w:r>
              <w:rPr>
                <w:b w:val="false"/>
                <w:bCs w:val="false"/>
                <w:color w:val="2B2320"/>
                <w:sz w:val="19"/>
                <w:szCs w:val="19"/>
              </w:rPr>
              <w:t xml:space="preserve">steps</w:t>
            </w:r>
          </w:p>
        </w:tc>
        <w:tc>
          <w:tcPr>
            <w:tcW w:type="dxa" w:w="1600"/>
          </w:tcPr>
          <w:p>
            <w:r>
              <w:rPr>
                <w:b w:val="false"/>
                <w:bCs w:val="false"/>
                <w:color w:val="2B2320"/>
                <w:sz w:val="19"/>
                <w:szCs w:val="19"/>
              </w:rPr>
              <w:t xml:space="preserve">array de string</w:t>
            </w:r>
          </w:p>
        </w:tc>
        <w:tc>
          <w:tcPr>
            <w:tcW w:type="dxa" w:w="6200"/>
          </w:tcPr>
          <w:p>
            <w:r>
              <w:rPr>
                <w:b w:val="false"/>
                <w:bCs w:val="false"/>
                <w:color w:val="2B2320"/>
                <w:sz w:val="19"/>
                <w:szCs w:val="19"/>
              </w:rPr>
              <w:t xml:space="preserve">Pasos de preparación, en orden.</w:t>
            </w:r>
          </w:p>
        </w:tc>
      </w:tr>
    </w:tbl>
    <w:p>
      <w:pPr>
        <w:pStyle w:val="Heading2"/>
        <w:spacing w:after="120" w:before="260"/>
      </w:pPr>
      <w:r>
        <w:t xml:space="preserve">4.3 Línea de receta (recipe.lines[])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200"/>
      </w:tblGrid>
      <w:tr>
        <w:trPr>
          <w:tblHeader/>
        </w:trPr>
        <w:tc>
          <w:tcPr>
            <w:tcW w:type="dxa" w:w="1600"/>
            <w:shd w:fill="8B2E2E" w:val="clear"/>
          </w:tcPr>
          <w:p>
            <w:r>
              <w:rPr>
                <w:b/>
                <w:bCs/>
                <w:color w:val="FFFFFF"/>
                <w:sz w:val="19"/>
                <w:szCs w:val="19"/>
              </w:rPr>
              <w:t xml:space="preserve">Campo</w:t>
            </w:r>
          </w:p>
        </w:tc>
        <w:tc>
          <w:tcPr>
            <w:tcW w:type="dxa" w:w="1600"/>
            <w:shd w:fill="8B2E2E" w:val="clear"/>
          </w:tcPr>
          <w:p>
            <w:r>
              <w:rPr>
                <w:b/>
                <w:bCs/>
                <w:color w:val="FFFFFF"/>
                <w:sz w:val="19"/>
                <w:szCs w:val="19"/>
              </w:rPr>
              <w:t xml:space="preserve">Tipo</w:t>
            </w:r>
          </w:p>
        </w:tc>
        <w:tc>
          <w:tcPr>
            <w:tcW w:type="dxa" w:w="6200"/>
            <w:shd w:fill="8B2E2E" w:val="clear"/>
          </w:tcPr>
          <w:p>
            <w:r>
              <w:rPr>
                <w:b/>
                <w:bCs/>
                <w:color w:val="FFFFFF"/>
                <w:sz w:val="19"/>
                <w:szCs w:val="19"/>
              </w:rPr>
              <w:t xml:space="preserve">Descripción</w:t>
            </w:r>
          </w:p>
        </w:tc>
      </w:tr>
      <w:tr>
        <w:tc>
          <w:tcPr>
            <w:tcW w:type="dxa" w:w="1600"/>
          </w:tcPr>
          <w:p>
            <w:r>
              <w:rPr>
                <w:b w:val="false"/>
                <w:bCs w:val="false"/>
                <w:color w:val="2B2320"/>
                <w:sz w:val="19"/>
                <w:szCs w:val="19"/>
              </w:rPr>
              <w:t xml:space="preserve">kind</w:t>
            </w:r>
          </w:p>
        </w:tc>
        <w:tc>
          <w:tcPr>
            <w:tcW w:type="dxa" w:w="1600"/>
          </w:tcPr>
          <w:p>
            <w:r>
              <w:rPr>
                <w:b w:val="false"/>
                <w:bCs w:val="false"/>
                <w:color w:val="2B2320"/>
                <w:sz w:val="19"/>
                <w:szCs w:val="19"/>
              </w:rPr>
              <w:t xml:space="preserve">'ing' | 'sub'</w:t>
            </w:r>
          </w:p>
        </w:tc>
        <w:tc>
          <w:tcPr>
            <w:tcW w:type="dxa" w:w="6200"/>
          </w:tcPr>
          <w:p>
            <w:r>
              <w:rPr>
                <w:b w:val="false"/>
                <w:bCs w:val="false"/>
                <w:color w:val="2B2320"/>
                <w:sz w:val="19"/>
                <w:szCs w:val="19"/>
              </w:rPr>
              <w:t xml:space="preserve">Si la línea referencia un ingrediente base o una sub-receta.</w:t>
            </w:r>
          </w:p>
        </w:tc>
      </w:tr>
      <w:tr>
        <w:tc>
          <w:tcPr>
            <w:tcW w:type="dxa" w:w="1600"/>
          </w:tcPr>
          <w:p>
            <w:r>
              <w:rPr>
                <w:b w:val="false"/>
                <w:bCs w:val="false"/>
                <w:color w:val="2B2320"/>
                <w:sz w:val="19"/>
                <w:szCs w:val="19"/>
              </w:rPr>
              <w:t xml:space="preserve">ref</w:t>
            </w:r>
          </w:p>
        </w:tc>
        <w:tc>
          <w:tcPr>
            <w:tcW w:type="dxa" w:w="1600"/>
          </w:tcPr>
          <w:p>
            <w:r>
              <w:rPr>
                <w:b w:val="false"/>
                <w:bCs w:val="false"/>
                <w:color w:val="2B2320"/>
                <w:sz w:val="19"/>
                <w:szCs w:val="19"/>
              </w:rPr>
              <w:t xml:space="preserve">string</w:t>
            </w:r>
          </w:p>
        </w:tc>
        <w:tc>
          <w:tcPr>
            <w:tcW w:type="dxa" w:w="6200"/>
          </w:tcPr>
          <w:p>
            <w:r>
              <w:rPr>
                <w:b w:val="false"/>
                <w:bCs w:val="false"/>
                <w:color w:val="2B2320"/>
                <w:sz w:val="19"/>
                <w:szCs w:val="19"/>
              </w:rPr>
              <w:t xml:space="preserve">Si kind='ing': el id del ingrediente. Si kind='sub': el code de la sub-receta.</w:t>
            </w:r>
          </w:p>
        </w:tc>
      </w:tr>
      <w:tr>
        <w:tc>
          <w:tcPr>
            <w:tcW w:type="dxa" w:w="1600"/>
          </w:tcPr>
          <w:p>
            <w:r>
              <w:rPr>
                <w:b w:val="false"/>
                <w:bCs w:val="false"/>
                <w:color w:val="2B2320"/>
                <w:sz w:val="19"/>
                <w:szCs w:val="19"/>
              </w:rPr>
              <w:t xml:space="preserve">qty</w:t>
            </w:r>
          </w:p>
        </w:tc>
        <w:tc>
          <w:tcPr>
            <w:tcW w:type="dxa" w:w="1600"/>
          </w:tcPr>
          <w:p>
            <w:r>
              <w:rPr>
                <w:b w:val="false"/>
                <w:bCs w:val="false"/>
                <w:color w:val="2B2320"/>
                <w:sz w:val="19"/>
                <w:szCs w:val="19"/>
              </w:rPr>
              <w:t xml:space="preserve">number</w:t>
            </w:r>
          </w:p>
        </w:tc>
        <w:tc>
          <w:tcPr>
            <w:tcW w:type="dxa" w:w="6200"/>
          </w:tcPr>
          <w:p>
            <w:r>
              <w:rPr>
                <w:b w:val="false"/>
                <w:bCs w:val="false"/>
                <w:color w:val="2B2320"/>
                <w:sz w:val="19"/>
                <w:szCs w:val="19"/>
              </w:rPr>
              <w:t xml:space="preserve">Cantidad en gramos (o litros/unidades si el ingrediente referenciado usa esa unidad).</w:t>
            </w:r>
          </w:p>
        </w:tc>
      </w:tr>
    </w:tbl>
    <w:p>
      <w:pPr>
        <w:pStyle w:val="Heading2"/>
        <w:spacing w:after="120" w:before="260"/>
      </w:pPr>
      <w:r>
        <w:t xml:space="preserve">4.4 Proveedor (DATA.suppliers[])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800"/>
      </w:tblGrid>
      <w:tr>
        <w:trPr>
          <w:tblHeader/>
        </w:trPr>
        <w:tc>
          <w:tcPr>
            <w:tcW w:type="dxa" w:w="1800"/>
            <w:shd w:fill="8B2E2E" w:val="clear"/>
          </w:tcPr>
          <w:p>
            <w:r>
              <w:rPr>
                <w:b/>
                <w:bCs/>
                <w:color w:val="FFFFFF"/>
                <w:sz w:val="19"/>
                <w:szCs w:val="19"/>
              </w:rPr>
              <w:t xml:space="preserve">Campo</w:t>
            </w:r>
          </w:p>
        </w:tc>
        <w:tc>
          <w:tcPr>
            <w:tcW w:type="dxa" w:w="1800"/>
            <w:shd w:fill="8B2E2E" w:val="clear"/>
          </w:tcPr>
          <w:p>
            <w:r>
              <w:rPr>
                <w:b/>
                <w:bCs/>
                <w:color w:val="FFFFFF"/>
                <w:sz w:val="19"/>
                <w:szCs w:val="19"/>
              </w:rPr>
              <w:t xml:space="preserve">Tipo</w:t>
            </w:r>
          </w:p>
        </w:tc>
        <w:tc>
          <w:tcPr>
            <w:tcW w:type="dxa" w:w="5800"/>
            <w:shd w:fill="8B2E2E" w:val="clear"/>
          </w:tcPr>
          <w:p>
            <w:r>
              <w:rPr>
                <w:b/>
                <w:bCs/>
                <w:color w:val="FFFFFF"/>
                <w:sz w:val="19"/>
                <w:szCs w:val="19"/>
              </w:rPr>
              <w:t xml:space="preserve">Descripción</w:t>
            </w:r>
          </w:p>
        </w:tc>
      </w:tr>
      <w:tr>
        <w:tc>
          <w:tcPr>
            <w:tcW w:type="dxa" w:w="1800"/>
          </w:tcPr>
          <w:p>
            <w:r>
              <w:rPr>
                <w:b w:val="false"/>
                <w:bCs w:val="false"/>
                <w:color w:val="2B2320"/>
                <w:sz w:val="19"/>
                <w:szCs w:val="19"/>
              </w:rPr>
              <w:t xml:space="preserve">id</w:t>
            </w:r>
          </w:p>
        </w:tc>
        <w:tc>
          <w:tcPr>
            <w:tcW w:type="dxa" w:w="1800"/>
          </w:tcPr>
          <w:p>
            <w:r>
              <w:rPr>
                <w:b w:val="false"/>
                <w:bCs w:val="false"/>
                <w:color w:val="2B2320"/>
                <w:sz w:val="19"/>
                <w:szCs w:val="19"/>
              </w:rPr>
              <w:t xml:space="preserve">string</w:t>
            </w:r>
          </w:p>
        </w:tc>
        <w:tc>
          <w:tcPr>
            <w:tcW w:type="dxa" w:w="5800"/>
          </w:tcPr>
          <w:p>
            <w:r>
              <w:rPr>
                <w:b w:val="false"/>
                <w:bCs w:val="false"/>
                <w:color w:val="2B2320"/>
                <w:sz w:val="19"/>
                <w:szCs w:val="19"/>
              </w:rPr>
              <w:t xml:space="preserve">Identificador único generado con uid('sup').</w:t>
            </w:r>
          </w:p>
        </w:tc>
      </w:tr>
      <w:tr>
        <w:tc>
          <w:tcPr>
            <w:tcW w:type="dxa" w:w="1800"/>
          </w:tcPr>
          <w:p>
            <w:r>
              <w:rPr>
                <w:b w:val="false"/>
                <w:bCs w:val="false"/>
                <w:color w:val="2B2320"/>
                <w:sz w:val="19"/>
                <w:szCs w:val="19"/>
              </w:rPr>
              <w:t xml:space="preserve">name</w:t>
            </w:r>
          </w:p>
        </w:tc>
        <w:tc>
          <w:tcPr>
            <w:tcW w:type="dxa" w:w="1800"/>
          </w:tcPr>
          <w:p>
            <w:r>
              <w:rPr>
                <w:b w:val="false"/>
                <w:bCs w:val="false"/>
                <w:color w:val="2B2320"/>
                <w:sz w:val="19"/>
                <w:szCs w:val="19"/>
              </w:rPr>
              <w:t xml:space="preserve">string</w:t>
            </w:r>
          </w:p>
        </w:tc>
        <w:tc>
          <w:tcPr>
            <w:tcW w:type="dxa" w:w="5800"/>
          </w:tcPr>
          <w:p>
            <w:r>
              <w:rPr>
                <w:b w:val="false"/>
                <w:bCs w:val="false"/>
                <w:color w:val="2B2320"/>
                <w:sz w:val="19"/>
                <w:szCs w:val="19"/>
              </w:rPr>
              <w:t xml:space="preserve">Nombre del proveedor.</w:t>
            </w:r>
          </w:p>
        </w:tc>
      </w:tr>
      <w:tr>
        <w:tc>
          <w:tcPr>
            <w:tcW w:type="dxa" w:w="1800"/>
          </w:tcPr>
          <w:p>
            <w:r>
              <w:rPr>
                <w:b w:val="false"/>
                <w:bCs w:val="false"/>
                <w:color w:val="2B2320"/>
                <w:sz w:val="19"/>
                <w:szCs w:val="19"/>
              </w:rPr>
              <w:t xml:space="preserve">category</w:t>
            </w:r>
          </w:p>
        </w:tc>
        <w:tc>
          <w:tcPr>
            <w:tcW w:type="dxa" w:w="1800"/>
          </w:tcPr>
          <w:p>
            <w:r>
              <w:rPr>
                <w:b w:val="false"/>
                <w:bCs w:val="false"/>
                <w:color w:val="2B2320"/>
                <w:sz w:val="19"/>
                <w:szCs w:val="19"/>
              </w:rPr>
              <w:t xml:space="preserve">string</w:t>
            </w:r>
          </w:p>
        </w:tc>
        <w:tc>
          <w:tcPr>
            <w:tcW w:type="dxa" w:w="5800"/>
          </w:tcPr>
          <w:p>
            <w:r>
              <w:rPr>
                <w:b w:val="false"/>
                <w:bCs w:val="false"/>
                <w:color w:val="2B2320"/>
                <w:sz w:val="19"/>
                <w:szCs w:val="19"/>
              </w:rPr>
              <w:t xml:space="preserve">Rubro (ej. "Cárnicos", "Envases").</w:t>
            </w:r>
          </w:p>
        </w:tc>
      </w:tr>
      <w:tr>
        <w:tc>
          <w:tcPr>
            <w:tcW w:type="dxa" w:w="1800"/>
          </w:tcPr>
          <w:p>
            <w:r>
              <w:rPr>
                <w:b w:val="false"/>
                <w:bCs w:val="false"/>
                <w:color w:val="2B2320"/>
                <w:sz w:val="19"/>
                <w:szCs w:val="19"/>
              </w:rPr>
              <w:t xml:space="preserve">phone / email</w:t>
            </w:r>
          </w:p>
        </w:tc>
        <w:tc>
          <w:tcPr>
            <w:tcW w:type="dxa" w:w="1800"/>
          </w:tcPr>
          <w:p>
            <w:r>
              <w:rPr>
                <w:b w:val="false"/>
                <w:bCs w:val="false"/>
                <w:color w:val="2B2320"/>
                <w:sz w:val="19"/>
                <w:szCs w:val="19"/>
              </w:rPr>
              <w:t xml:space="preserve">string</w:t>
            </w:r>
          </w:p>
        </w:tc>
        <w:tc>
          <w:tcPr>
            <w:tcW w:type="dxa" w:w="5800"/>
          </w:tcPr>
          <w:p>
            <w:r>
              <w:rPr>
                <w:b w:val="false"/>
                <w:bCs w:val="false"/>
                <w:color w:val="2B2320"/>
                <w:sz w:val="19"/>
                <w:szCs w:val="19"/>
              </w:rPr>
              <w:t xml:space="preserve">Datos de contacto.</w:t>
            </w:r>
          </w:p>
        </w:tc>
      </w:tr>
      <w:tr>
        <w:tc>
          <w:tcPr>
            <w:tcW w:type="dxa" w:w="1800"/>
          </w:tcPr>
          <w:p>
            <w:r>
              <w:rPr>
                <w:b w:val="false"/>
                <w:bCs w:val="false"/>
                <w:color w:val="2B2320"/>
                <w:sz w:val="19"/>
                <w:szCs w:val="19"/>
              </w:rPr>
              <w:t xml:space="preserve">notes</w:t>
            </w:r>
          </w:p>
        </w:tc>
        <w:tc>
          <w:tcPr>
            <w:tcW w:type="dxa" w:w="1800"/>
          </w:tcPr>
          <w:p>
            <w:r>
              <w:rPr>
                <w:b w:val="false"/>
                <w:bCs w:val="false"/>
                <w:color w:val="2B2320"/>
                <w:sz w:val="19"/>
                <w:szCs w:val="19"/>
              </w:rPr>
              <w:t xml:space="preserve">string</w:t>
            </w:r>
          </w:p>
        </w:tc>
        <w:tc>
          <w:tcPr>
            <w:tcW w:type="dxa" w:w="5800"/>
          </w:tcPr>
          <w:p>
            <w:r>
              <w:rPr>
                <w:b w:val="false"/>
                <w:bCs w:val="false"/>
                <w:color w:val="2B2320"/>
                <w:sz w:val="19"/>
                <w:szCs w:val="19"/>
              </w:rPr>
              <w:t xml:space="preserve">Notas libres.</w:t>
            </w:r>
          </w:p>
        </w:tc>
      </w:tr>
      <w:tr>
        <w:tc>
          <w:tcPr>
            <w:tcW w:type="dxa" w:w="1800"/>
          </w:tcPr>
          <w:p>
            <w:r>
              <w:rPr>
                <w:b w:val="false"/>
                <w:bCs w:val="false"/>
                <w:color w:val="2B2320"/>
                <w:sz w:val="19"/>
                <w:szCs w:val="19"/>
              </w:rPr>
              <w:t xml:space="preserve">ingredientIds</w:t>
            </w:r>
          </w:p>
        </w:tc>
        <w:tc>
          <w:tcPr>
            <w:tcW w:type="dxa" w:w="1800"/>
          </w:tcPr>
          <w:p>
            <w:r>
              <w:rPr>
                <w:b w:val="false"/>
                <w:bCs w:val="false"/>
                <w:color w:val="2B2320"/>
                <w:sz w:val="19"/>
                <w:szCs w:val="19"/>
              </w:rPr>
              <w:t xml:space="preserve">array de string</w:t>
            </w:r>
          </w:p>
        </w:tc>
        <w:tc>
          <w:tcPr>
            <w:tcW w:type="dxa" w:w="5800"/>
          </w:tcPr>
          <w:p>
            <w:r>
              <w:rPr>
                <w:b w:val="false"/>
                <w:bCs w:val="false"/>
                <w:color w:val="2B2320"/>
                <w:sz w:val="19"/>
                <w:szCs w:val="19"/>
              </w:rPr>
              <w:t xml:space="preserve">IDs de ingredientes (DATA.ingredients) que provee este proveedor.</w:t>
            </w:r>
          </w:p>
        </w:tc>
      </w:tr>
    </w:tbl>
    <w:p>
      <w:pPr>
        <w:pStyle w:val="Heading1"/>
        <w:spacing w:after="160" w:before="360"/>
      </w:pPr>
      <w:r>
        <w:t xml:space="preserve">5. Almacenamiento (window.storage)</w:t>
      </w:r>
    </w:p>
    <w:p>
      <w:pPr>
        <w:spacing w:after="140"/>
      </w:pPr>
      <w:r>
        <w:t xml:space="preserve">La app usa la API de almacenamiento persistente del entorno de artefactos de Claude.ai, expuesta como window.storage.get / window.storage.set. Se usan dos claves: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8B2E2E" w:val="clear"/>
          </w:tcPr>
          <w:p>
            <w:r>
              <w:rPr>
                <w:b/>
                <w:bCs/>
                <w:color w:val="FFFFFF"/>
                <w:sz w:val="19"/>
                <w:szCs w:val="19"/>
              </w:rPr>
              <w:t xml:space="preserve">Clave</w:t>
            </w:r>
          </w:p>
        </w:tc>
        <w:tc>
          <w:tcPr>
            <w:tcW w:type="dxa" w:w="2600"/>
            <w:shd w:fill="8B2E2E" w:val="clear"/>
          </w:tcPr>
          <w:p>
            <w:r>
              <w:rPr>
                <w:b/>
                <w:bCs/>
                <w:color w:val="FFFFFF"/>
                <w:sz w:val="19"/>
                <w:szCs w:val="19"/>
              </w:rPr>
              <w:t xml:space="preserve">Alcance</w:t>
            </w:r>
          </w:p>
        </w:tc>
        <w:tc>
          <w:tcPr>
            <w:tcW w:type="dxa" w:w="4200"/>
            <w:shd w:fill="8B2E2E" w:val="clear"/>
          </w:tcPr>
          <w:p>
            <w:r>
              <w:rPr>
                <w:b/>
                <w:bCs/>
                <w:color w:val="FFFFFF"/>
                <w:sz w:val="19"/>
                <w:szCs w:val="19"/>
              </w:rPr>
              <w:t xml:space="preserve">Contenido</w:t>
            </w:r>
          </w:p>
        </w:tc>
      </w:tr>
      <w:tr>
        <w:tc>
          <w:tcPr>
            <w:tcW w:type="dxa" w:w="2600"/>
          </w:tcPr>
          <w:p>
            <w:r>
              <w:rPr>
                <w:b w:val="false"/>
                <w:bCs w:val="false"/>
                <w:color w:val="2B2320"/>
                <w:sz w:val="19"/>
                <w:szCs w:val="19"/>
              </w:rPr>
              <w:t xml:space="preserve">tio_pollo_data</w:t>
            </w:r>
          </w:p>
        </w:tc>
        <w:tc>
          <w:tcPr>
            <w:tcW w:type="dxa" w:w="2600"/>
          </w:tcPr>
          <w:p>
            <w:r>
              <w:rPr>
                <w:b w:val="false"/>
                <w:bCs w:val="false"/>
                <w:color w:val="2B2320"/>
                <w:sz w:val="19"/>
                <w:szCs w:val="19"/>
              </w:rPr>
              <w:t xml:space="preserve">Compartido (shared:true)</w:t>
            </w:r>
          </w:p>
        </w:tc>
        <w:tc>
          <w:tcPr>
            <w:tcW w:type="dxa" w:w="4200"/>
          </w:tcPr>
          <w:p>
            <w:r>
              <w:rPr>
                <w:b w:val="false"/>
                <w:bCs w:val="false"/>
                <w:color w:val="2B2320"/>
                <w:sz w:val="19"/>
                <w:szCs w:val="19"/>
              </w:rPr>
              <w:t xml:space="preserve">Todo el objeto DATA (ingredientes, recetas, proveedores). Todos los usuarios de la app ven y editan la misma información.</w:t>
            </w:r>
          </w:p>
        </w:tc>
      </w:tr>
      <w:tr>
        <w:tc>
          <w:tcPr>
            <w:tcW w:type="dxa" w:w="2600"/>
          </w:tcPr>
          <w:p>
            <w:r>
              <w:rPr>
                <w:b w:val="false"/>
                <w:bCs w:val="false"/>
                <w:color w:val="2B2320"/>
                <w:sz w:val="19"/>
                <w:szCs w:val="19"/>
              </w:rPr>
              <w:t xml:space="preserve">tio_pollo_theme</w:t>
            </w:r>
          </w:p>
        </w:tc>
        <w:tc>
          <w:tcPr>
            <w:tcW w:type="dxa" w:w="2600"/>
          </w:tcPr>
          <w:p>
            <w:r>
              <w:rPr>
                <w:b w:val="false"/>
                <w:bCs w:val="false"/>
                <w:color w:val="2B2320"/>
                <w:sz w:val="19"/>
                <w:szCs w:val="19"/>
              </w:rPr>
              <w:t xml:space="preserve">Personal (shared:false)</w:t>
            </w:r>
          </w:p>
        </w:tc>
        <w:tc>
          <w:tcPr>
            <w:tcW w:type="dxa" w:w="4200"/>
          </w:tcPr>
          <w:p>
            <w:r>
              <w:rPr>
                <w:b w:val="false"/>
                <w:bCs w:val="false"/>
                <w:color w:val="2B2320"/>
                <w:sz w:val="19"/>
                <w:szCs w:val="19"/>
              </w:rPr>
              <w:t xml:space="preserve">Preferencia de tema ('light' o 'dark') — cada dispositivo/usuario guarda la suya propia.</w:t>
            </w:r>
          </w:p>
        </w:tc>
      </w:tr>
    </w:tbl>
    <w:p>
      <w:pPr>
        <w:spacing w:after="140"/>
      </w:pPr>
      <w:r>
        <w:t xml:space="preserve">Implicación importante: al ser shared:true, cualquier persona con acceso al artefacto ve y puede modificar los mismos datos. No hay control de permisos ni historial de quién cambió qué. Si en el futuro se necesita eso, ver la sección 10 (limitaciones y próximos pasos).</w:t>
      </w:r>
    </w:p>
    <w:p>
      <w:pPr>
        <w:spacing w:after="140"/>
      </w:pPr>
      <w:r>
        <w:t xml:space="preserve">loadData() intenta leer la clave; si no existe (primera vez), siembra los datos con seedData() y los guarda. saveData(showToast) siempre reescribe el objeto completo — no hay actualizaciones parciales.</w:t>
      </w:r>
    </w:p>
    <w:p>
      <w:pPr>
        <w:pStyle w:val="Heading1"/>
        <w:spacing w:after="160" w:before="360"/>
      </w:pPr>
      <w:r>
        <w:t xml:space="preserve">6. Sistema de vistas (routing)</w:t>
      </w:r>
    </w:p>
    <w:p>
      <w:pPr>
        <w:spacing w:after="140"/>
      </w:pPr>
      <w:r>
        <w:t xml:space="preserve">state.view es un string que determina qué se muestra en #main. render() lo interpreta con una cadena de if/else. Vistas existentes: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8B2E2E" w:val="clear"/>
          </w:tcPr>
          <w:p>
            <w:r>
              <w:rPr>
                <w:b/>
                <w:bCs/>
                <w:color w:val="FFFFFF"/>
                <w:sz w:val="19"/>
                <w:szCs w:val="19"/>
              </w:rPr>
              <w:t xml:space="preserve">state.view</w:t>
            </w:r>
          </w:p>
        </w:tc>
        <w:tc>
          <w:tcPr>
            <w:tcW w:type="dxa" w:w="2200"/>
            <w:shd w:fill="8B2E2E" w:val="clear"/>
          </w:tcPr>
          <w:p>
            <w:r>
              <w:rPr>
                <w:b/>
                <w:bCs/>
                <w:color w:val="FFFFFF"/>
                <w:sz w:val="19"/>
                <w:szCs w:val="19"/>
              </w:rPr>
              <w:t xml:space="preserve">Función</w:t>
            </w:r>
          </w:p>
        </w:tc>
        <w:tc>
          <w:tcPr>
            <w:tcW w:type="dxa" w:w="4600"/>
            <w:shd w:fill="8B2E2E" w:val="clear"/>
          </w:tcPr>
          <w:p>
            <w:r>
              <w:rPr>
                <w:b/>
                <w:bCs/>
                <w:color w:val="FFFFFF"/>
                <w:sz w:val="19"/>
                <w:szCs w:val="19"/>
              </w:rPr>
              <w:t xml:space="preserve">Qué muestra</w:t>
            </w:r>
          </w:p>
        </w:tc>
      </w:tr>
      <w:tr>
        <w:tc>
          <w:tcPr>
            <w:tcW w:type="dxa" w:w="2600"/>
          </w:tcPr>
          <w:p>
            <w:r>
              <w:rPr>
                <w:b w:val="false"/>
                <w:bCs w:val="false"/>
                <w:color w:val="2B2320"/>
                <w:sz w:val="19"/>
                <w:szCs w:val="19"/>
              </w:rPr>
              <w:t xml:space="preserve">'recetas'</w:t>
            </w:r>
          </w:p>
        </w:tc>
        <w:tc>
          <w:tcPr>
            <w:tcW w:type="dxa" w:w="2200"/>
          </w:tcPr>
          <w:p>
            <w:r>
              <w:rPr>
                <w:b w:val="false"/>
                <w:bCs w:val="false"/>
                <w:color w:val="2B2320"/>
                <w:sz w:val="19"/>
                <w:szCs w:val="19"/>
              </w:rPr>
              <w:t xml:space="preserve">renderRecetas</w:t>
            </w:r>
          </w:p>
        </w:tc>
        <w:tc>
          <w:tcPr>
            <w:tcW w:type="dxa" w:w="4600"/>
          </w:tcPr>
          <w:p>
            <w:r>
              <w:rPr>
                <w:b w:val="false"/>
                <w:bCs w:val="false"/>
                <w:color w:val="2B2320"/>
                <w:sz w:val="19"/>
                <w:szCs w:val="19"/>
              </w:rPr>
              <w:t xml:space="preserve">Listado/buscador de recetas.</w:t>
            </w:r>
          </w:p>
        </w:tc>
      </w:tr>
      <w:tr>
        <w:tc>
          <w:tcPr>
            <w:tcW w:type="dxa" w:w="2600"/>
          </w:tcPr>
          <w:p>
            <w:r>
              <w:rPr>
                <w:b w:val="false"/>
                <w:bCs w:val="false"/>
                <w:color w:val="2B2320"/>
                <w:sz w:val="19"/>
                <w:szCs w:val="19"/>
              </w:rPr>
              <w:t xml:space="preserve">'receta:&lt;code&gt;'</w:t>
            </w:r>
          </w:p>
        </w:tc>
        <w:tc>
          <w:tcPr>
            <w:tcW w:type="dxa" w:w="2200"/>
          </w:tcPr>
          <w:p>
            <w:r>
              <w:rPr>
                <w:b w:val="false"/>
                <w:bCs w:val="false"/>
                <w:color w:val="2B2320"/>
                <w:sz w:val="19"/>
                <w:szCs w:val="19"/>
              </w:rPr>
              <w:t xml:space="preserve">renderRecetaDetalle</w:t>
            </w:r>
          </w:p>
        </w:tc>
        <w:tc>
          <w:tcPr>
            <w:tcW w:type="dxa" w:w="4600"/>
          </w:tcPr>
          <w:p>
            <w:r>
              <w:rPr>
                <w:b w:val="false"/>
                <w:bCs w:val="false"/>
                <w:color w:val="2B2320"/>
                <w:sz w:val="19"/>
                <w:szCs w:val="19"/>
              </w:rPr>
              <w:t xml:space="preserve">Ficha de una receta (detalle, escalado, impresión).</w:t>
            </w:r>
          </w:p>
        </w:tc>
      </w:tr>
      <w:tr>
        <w:tc>
          <w:tcPr>
            <w:tcW w:type="dxa" w:w="2600"/>
          </w:tcPr>
          <w:p>
            <w:r>
              <w:rPr>
                <w:b w:val="false"/>
                <w:bCs w:val="false"/>
                <w:color w:val="2B2320"/>
                <w:sz w:val="19"/>
                <w:szCs w:val="19"/>
              </w:rPr>
              <w:t xml:space="preserve">'receta-edit'</w:t>
            </w:r>
          </w:p>
        </w:tc>
        <w:tc>
          <w:tcPr>
            <w:tcW w:type="dxa" w:w="2200"/>
          </w:tcPr>
          <w:p>
            <w:r>
              <w:rPr>
                <w:b w:val="false"/>
                <w:bCs w:val="false"/>
                <w:color w:val="2B2320"/>
                <w:sz w:val="19"/>
                <w:szCs w:val="19"/>
              </w:rPr>
              <w:t xml:space="preserve">renderRecetaEdit</w:t>
            </w:r>
          </w:p>
        </w:tc>
        <w:tc>
          <w:tcPr>
            <w:tcW w:type="dxa" w:w="4600"/>
          </w:tcPr>
          <w:p>
            <w:r>
              <w:rPr>
                <w:b w:val="false"/>
                <w:bCs w:val="false"/>
                <w:color w:val="2B2320"/>
                <w:sz w:val="19"/>
                <w:szCs w:val="19"/>
              </w:rPr>
              <w:t xml:space="preserve">Formulario de alta/edición de receta (usa state.draft).</w:t>
            </w:r>
          </w:p>
        </w:tc>
      </w:tr>
      <w:tr>
        <w:tc>
          <w:tcPr>
            <w:tcW w:type="dxa" w:w="2600"/>
          </w:tcPr>
          <w:p>
            <w:r>
              <w:rPr>
                <w:b w:val="false"/>
                <w:bCs w:val="false"/>
                <w:color w:val="2B2320"/>
                <w:sz w:val="19"/>
                <w:szCs w:val="19"/>
              </w:rPr>
              <w:t xml:space="preserve">'ingredientes'</w:t>
            </w:r>
          </w:p>
        </w:tc>
        <w:tc>
          <w:tcPr>
            <w:tcW w:type="dxa" w:w="2200"/>
          </w:tcPr>
          <w:p>
            <w:r>
              <w:rPr>
                <w:b w:val="false"/>
                <w:bCs w:val="false"/>
                <w:color w:val="2B2320"/>
                <w:sz w:val="19"/>
                <w:szCs w:val="19"/>
              </w:rPr>
              <w:t xml:space="preserve">renderIngredientes</w:t>
            </w:r>
          </w:p>
        </w:tc>
        <w:tc>
          <w:tcPr>
            <w:tcW w:type="dxa" w:w="4600"/>
          </w:tcPr>
          <w:p>
            <w:r>
              <w:rPr>
                <w:b w:val="false"/>
                <w:bCs w:val="false"/>
                <w:color w:val="2B2320"/>
                <w:sz w:val="19"/>
                <w:szCs w:val="19"/>
              </w:rPr>
              <w:t xml:space="preserve">Catálogo de ingredientes y precios.</w:t>
            </w:r>
          </w:p>
        </w:tc>
      </w:tr>
      <w:tr>
        <w:tc>
          <w:tcPr>
            <w:tcW w:type="dxa" w:w="2600"/>
          </w:tcPr>
          <w:p>
            <w:r>
              <w:rPr>
                <w:b w:val="false"/>
                <w:bCs w:val="false"/>
                <w:color w:val="2B2320"/>
                <w:sz w:val="19"/>
                <w:szCs w:val="19"/>
              </w:rPr>
              <w:t xml:space="preserve">'proveedores'</w:t>
            </w:r>
          </w:p>
        </w:tc>
        <w:tc>
          <w:tcPr>
            <w:tcW w:type="dxa" w:w="2200"/>
          </w:tcPr>
          <w:p>
            <w:r>
              <w:rPr>
                <w:b w:val="false"/>
                <w:bCs w:val="false"/>
                <w:color w:val="2B2320"/>
                <w:sz w:val="19"/>
                <w:szCs w:val="19"/>
              </w:rPr>
              <w:t xml:space="preserve">renderProveedores</w:t>
            </w:r>
          </w:p>
        </w:tc>
        <w:tc>
          <w:tcPr>
            <w:tcW w:type="dxa" w:w="4600"/>
          </w:tcPr>
          <w:p>
            <w:r>
              <w:rPr>
                <w:b w:val="false"/>
                <w:bCs w:val="false"/>
                <w:color w:val="2B2320"/>
                <w:sz w:val="19"/>
                <w:szCs w:val="19"/>
              </w:rPr>
              <w:t xml:space="preserve">Listado/buscador de proveedores.</w:t>
            </w:r>
          </w:p>
        </w:tc>
      </w:tr>
      <w:tr>
        <w:tc>
          <w:tcPr>
            <w:tcW w:type="dxa" w:w="2600"/>
          </w:tcPr>
          <w:p>
            <w:r>
              <w:rPr>
                <w:b w:val="false"/>
                <w:bCs w:val="false"/>
                <w:color w:val="2B2320"/>
                <w:sz w:val="19"/>
                <w:szCs w:val="19"/>
              </w:rPr>
              <w:t xml:space="preserve">'proveedor-edit'</w:t>
            </w:r>
          </w:p>
        </w:tc>
        <w:tc>
          <w:tcPr>
            <w:tcW w:type="dxa" w:w="2200"/>
          </w:tcPr>
          <w:p>
            <w:r>
              <w:rPr>
                <w:b w:val="false"/>
                <w:bCs w:val="false"/>
                <w:color w:val="2B2320"/>
                <w:sz w:val="19"/>
                <w:szCs w:val="19"/>
              </w:rPr>
              <w:t xml:space="preserve">renderProveedorEdit</w:t>
            </w:r>
          </w:p>
        </w:tc>
        <w:tc>
          <w:tcPr>
            <w:tcW w:type="dxa" w:w="4600"/>
          </w:tcPr>
          <w:p>
            <w:r>
              <w:rPr>
                <w:b w:val="false"/>
                <w:bCs w:val="false"/>
                <w:color w:val="2B2320"/>
                <w:sz w:val="19"/>
                <w:szCs w:val="19"/>
              </w:rPr>
              <w:t xml:space="preserve">Formulario de alta/edición de proveedor.</w:t>
            </w:r>
          </w:p>
        </w:tc>
      </w:tr>
      <w:tr>
        <w:tc>
          <w:tcPr>
            <w:tcW w:type="dxa" w:w="2600"/>
          </w:tcPr>
          <w:p>
            <w:r>
              <w:rPr>
                <w:b w:val="false"/>
                <w:bCs w:val="false"/>
                <w:color w:val="2B2320"/>
                <w:sz w:val="19"/>
                <w:szCs w:val="19"/>
              </w:rPr>
              <w:t xml:space="preserve">'libro'</w:t>
            </w:r>
          </w:p>
        </w:tc>
        <w:tc>
          <w:tcPr>
            <w:tcW w:type="dxa" w:w="2200"/>
          </w:tcPr>
          <w:p>
            <w:r>
              <w:rPr>
                <w:b w:val="false"/>
                <w:bCs w:val="false"/>
                <w:color w:val="2B2320"/>
                <w:sz w:val="19"/>
                <w:szCs w:val="19"/>
              </w:rPr>
              <w:t xml:space="preserve">renderLibro</w:t>
            </w:r>
          </w:p>
        </w:tc>
        <w:tc>
          <w:tcPr>
            <w:tcW w:type="dxa" w:w="4600"/>
          </w:tcPr>
          <w:p>
            <w:r>
              <w:rPr>
                <w:b w:val="false"/>
                <w:bCs w:val="false"/>
                <w:color w:val="2B2320"/>
                <w:sz w:val="19"/>
                <w:szCs w:val="19"/>
              </w:rPr>
              <w:t xml:space="preserve">Libro de recetas completo (portada + índice + una receta por página).</w:t>
            </w:r>
          </w:p>
        </w:tc>
      </w:tr>
      <w:tr>
        <w:tc>
          <w:tcPr>
            <w:tcW w:type="dxa" w:w="2600"/>
          </w:tcPr>
          <w:p>
            <w:r>
              <w:rPr>
                <w:b w:val="false"/>
                <w:bCs w:val="false"/>
                <w:color w:val="2B2320"/>
                <w:sz w:val="19"/>
                <w:szCs w:val="19"/>
              </w:rPr>
              <w:t xml:space="preserve">'escandallo'</w:t>
            </w:r>
          </w:p>
        </w:tc>
        <w:tc>
          <w:tcPr>
            <w:tcW w:type="dxa" w:w="2200"/>
          </w:tcPr>
          <w:p>
            <w:r>
              <w:rPr>
                <w:b w:val="false"/>
                <w:bCs w:val="false"/>
                <w:color w:val="2B2320"/>
                <w:sz w:val="19"/>
                <w:szCs w:val="19"/>
              </w:rPr>
              <w:t xml:space="preserve">renderEscandallo</w:t>
            </w:r>
          </w:p>
        </w:tc>
        <w:tc>
          <w:tcPr>
            <w:tcW w:type="dxa" w:w="4600"/>
          </w:tcPr>
          <w:p>
            <w:r>
              <w:rPr>
                <w:b w:val="false"/>
                <w:bCs w:val="false"/>
                <w:color w:val="2B2320"/>
                <w:sz w:val="19"/>
                <w:szCs w:val="19"/>
              </w:rPr>
              <w:t xml:space="preserve">Vista general de costeo de todas las recetas + exportar a Excel.</w:t>
            </w:r>
          </w:p>
        </w:tc>
      </w:tr>
      <w:tr>
        <w:tc>
          <w:tcPr>
            <w:tcW w:type="dxa" w:w="2600"/>
          </w:tcPr>
          <w:p>
            <w:r>
              <w:rPr>
                <w:b w:val="false"/>
                <w:bCs w:val="false"/>
                <w:color w:val="2B2320"/>
                <w:sz w:val="19"/>
                <w:szCs w:val="19"/>
              </w:rPr>
              <w:t xml:space="preserve">'escandallo-receta:&lt;code&gt;'</w:t>
            </w:r>
          </w:p>
        </w:tc>
        <w:tc>
          <w:tcPr>
            <w:tcW w:type="dxa" w:w="2200"/>
          </w:tcPr>
          <w:p>
            <w:r>
              <w:rPr>
                <w:b w:val="false"/>
                <w:bCs w:val="false"/>
                <w:color w:val="2B2320"/>
                <w:sz w:val="19"/>
                <w:szCs w:val="19"/>
              </w:rPr>
              <w:t xml:space="preserve">renderEscandalloReceta</w:t>
            </w:r>
          </w:p>
        </w:tc>
        <w:tc>
          <w:tcPr>
            <w:tcW w:type="dxa" w:w="4600"/>
          </w:tcPr>
          <w:p>
            <w:r>
              <w:rPr>
                <w:b w:val="false"/>
                <w:bCs w:val="false"/>
                <w:color w:val="2B2320"/>
                <w:sz w:val="19"/>
                <w:szCs w:val="19"/>
              </w:rPr>
              <w:t xml:space="preserve">Escandallo detallado de una receta puntual.</w:t>
            </w:r>
          </w:p>
        </w:tc>
      </w:tr>
    </w:tbl>
    <w:p>
      <w:pPr>
        <w:spacing w:after="140"/>
      </w:pPr>
      <w:r>
        <w:t xml:space="preserve">Para agregar una vista nueva: crear una función renderNombreVista() que llene #main, agregar la rama correspondiente en render(), y agregar la navegación (botón o entrada de menú) que asigne state.view y llame a render().</w:t>
      </w:r>
    </w:p>
    <w:p>
      <w:pPr>
        <w:pStyle w:val="Heading1"/>
        <w:spacing w:after="160" w:before="360"/>
      </w:pPr>
      <w:r>
        <w:t xml:space="preserve">7. Cálculo de costos (breakdown)</w:t>
      </w:r>
    </w:p>
    <w:p>
      <w:pPr>
        <w:spacing w:after="140"/>
      </w:pPr>
      <w:r>
        <w:t xml:space="preserve">breakdown(code, multiplier) es la función central de costeo. Para una receta dada:</w:t>
      </w:r>
    </w:p>
    <w:p>
      <w:pPr>
        <w:pStyle w:val="ListParagraph"/>
        <w:numPr>
          <w:ilvl w:val="0"/>
          <w:numId w:val="1"/>
        </w:numPr>
        <w:spacing w:after="80"/>
      </w:pPr>
      <w:r>
        <w:t xml:space="preserve">Recorre cada línea de la receta.</w:t>
      </w:r>
    </w:p>
    <w:p>
      <w:pPr>
        <w:pStyle w:val="ListParagraph"/>
        <w:numPr>
          <w:ilvl w:val="0"/>
          <w:numId w:val="1"/>
        </w:numPr>
        <w:spacing w:after="80"/>
      </w:pPr>
      <w:r>
        <w:t xml:space="preserve">Si la línea es un ingrediente (kind='ing'), toma su precio directo del catálogo.</w:t>
      </w:r>
    </w:p>
    <w:p>
      <w:pPr>
        <w:pStyle w:val="ListParagraph"/>
        <w:numPr>
          <w:ilvl w:val="0"/>
          <w:numId w:val="1"/>
        </w:numPr>
        <w:spacing w:after="80"/>
      </w:pPr>
      <w:r>
        <w:t xml:space="preserve">Si la línea es una sub-receta (kind='sub'), llama a subCostPerGram() para calcular recursivamente el costo por gramo de esa sub-receta (que a su vez puede depender de otros ingredientes o sub-recetas).</w:t>
      </w:r>
    </w:p>
    <w:p>
      <w:pPr>
        <w:pStyle w:val="ListParagraph"/>
        <w:numPr>
          <w:ilvl w:val="0"/>
          <w:numId w:val="1"/>
        </w:numPr>
        <w:spacing w:after="80"/>
      </w:pPr>
      <w:r>
        <w:t xml:space="preserve">Suma todos los costos de línea, multiplicados por el multiplicador de escala (x1, x2, x4, x8).</w:t>
      </w:r>
    </w:p>
    <w:p>
      <w:pPr>
        <w:pStyle w:val="ListParagraph"/>
        <w:numPr>
          <w:ilvl w:val="0"/>
          <w:numId w:val="1"/>
        </w:numPr>
        <w:spacing w:after="80"/>
      </w:pPr>
      <w:r>
        <w:t xml:space="preserve">Si la receta tiene terrina definida, calcula cuántas terrinas rinde con Math.floor (redondeo hacia abajo, nunca hacia arriba) y el costo por terrina.</w:t>
      </w:r>
    </w:p>
    <w:p>
      <w:pPr>
        <w:spacing w:after="140"/>
      </w:pPr>
      <w:r>
        <w:t xml:space="preserve">subCostPerGram() recibe un parámetro seen para detectar y evitar recursión infinita si dos sub-recetas llegaran a referenciarse circularmente.</w:t>
      </w:r>
    </w:p>
    <w:p>
      <w:pPr>
        <w:pStyle w:val="Heading1"/>
        <w:spacing w:after="160" w:before="360"/>
      </w:pPr>
      <w:r>
        <w:t xml:space="preserve">8. Impresión y libro de recetas</w:t>
      </w:r>
    </w:p>
    <w:p>
      <w:pPr>
        <w:spacing w:after="140"/>
      </w:pPr>
      <w:r>
        <w:t xml:space="preserve">La impresión usa @media print para ocultar el menú lateral y adaptar el layout. Elementos clave:</w:t>
      </w:r>
    </w:p>
    <w:p>
      <w:pPr>
        <w:pStyle w:val="ListParagraph"/>
        <w:numPr>
          <w:ilvl w:val="0"/>
          <w:numId w:val="1"/>
        </w:numPr>
        <w:spacing w:after="80"/>
      </w:pPr>
      <w:r>
        <w:t xml:space="preserve">.report-header — encabezado con logo, usado en fichas individuales, listado de ingredientes y de proveedores.</w:t>
      </w:r>
    </w:p>
    <w:p>
      <w:pPr>
        <w:pStyle w:val="ListParagraph"/>
        <w:numPr>
          <w:ilvl w:val="0"/>
          <w:numId w:val="1"/>
        </w:numPr>
        <w:spacing w:after="80"/>
      </w:pPr>
      <w:r>
        <w:t xml:space="preserve">.book-banner — encabezado de cada receta dentro del libro completo (fondo blanco, línea dorada a la izquierda, texto en tinta oscura — se cambió de un fondo rojo sólido porque los navegadores no imprimen fondos de color por defecto y el texto quedaba ilegible).</w:t>
      </w:r>
    </w:p>
    <w:p>
      <w:pPr>
        <w:pStyle w:val="ListParagraph"/>
        <w:numPr>
          <w:ilvl w:val="0"/>
          <w:numId w:val="1"/>
        </w:numPr>
        <w:spacing w:after="80"/>
      </w:pPr>
      <w:r>
        <w:t xml:space="preserve">.book-page-break — fuerza salto de página (break-before:page). Se aplica a cada receta dentro del libro, incluida la primera, para que cada una caiga en su propia hoja después del índice.</w:t>
      </w:r>
    </w:p>
    <w:p>
      <w:pPr>
        <w:spacing w:after="140"/>
      </w:pPr>
      <w:r>
        <w:t xml:space="preserve">Si se agrega contenido nuevo al libro o a una ficha, revisar siempre que los fondos de color necesarios para impresión tengan -webkit-print-color-adjust:exact y print-color-adjust:exact, o usar diseños que no dependan de fondos de color (como se hizo con book-banner).</w:t>
      </w:r>
    </w:p>
    <w:p>
      <w:pPr>
        <w:pStyle w:val="Heading1"/>
        <w:spacing w:after="160" w:before="360"/>
      </w:pPr>
      <w:r>
        <w:t xml:space="preserve">9. Tema claro / oscuro</w:t>
      </w:r>
    </w:p>
    <w:p>
      <w:pPr>
        <w:spacing w:after="140"/>
      </w:pPr>
      <w:r>
        <w:t xml:space="preserve">El tema se controla con el atributo data-theme="dark" en &lt;html&gt;, alternado por toggleTheme(). Las variables de color están definidas dos veces en :root y en [data-theme="dark"]: --crema, --tinta, --linea, --muted, --superficie, --sombra-tarjeta, --dorado, --rojo, --rojo-osc.</w:t>
      </w:r>
    </w:p>
    <w:p>
      <w:pPr>
        <w:spacing w:after="140"/>
      </w:pPr>
      <w:r>
        <w:t xml:space="preserve">Regla práctica al agregar CSS nuevo: nunca usar colores fijos como #fff o #000 para fondos o texto de contenido — usar siempre las variables (var(--superficie), var(--tinta), etc.) para que el elemento se adapte automáticamente a ambos temas.</w:t>
      </w:r>
    </w:p>
    <w:p>
      <w:pPr>
        <w:pStyle w:val="Heading1"/>
        <w:spacing w:after="160" w:before="360"/>
      </w:pPr>
      <w:r>
        <w:t xml:space="preserve">10. Exportación a Excel</w:t>
      </w:r>
    </w:p>
    <w:p>
      <w:pPr>
        <w:spacing w:after="140"/>
      </w:pPr>
      <w:r>
        <w:t xml:space="preserve">Se usa la librería SheetJS (xlsx), cargada por CDN en el &lt;head&gt;. Las funciones buildIngredientesAOA, buildEscandalloGeneralAOA y buildRecipeAOA arman arrays de arrays (AOA) que luego exportEscandalloXlsx convierte en hojas de un mismo libro (workbook) y descarga como .xlsx.</w:t>
      </w:r>
    </w:p>
    <w:p>
      <w:pPr>
        <w:pStyle w:val="Heading1"/>
        <w:spacing w:after="160" w:before="360"/>
      </w:pPr>
      <w:r>
        <w:t xml:space="preserve">11. Cómo extender la app — guía rápida</w:t>
      </w:r>
    </w:p>
    <w:p>
      <w:pPr>
        <w:pStyle w:val="Heading3"/>
        <w:spacing w:after="100" w:before="200"/>
      </w:pPr>
      <w:r>
        <w:t xml:space="preserve">Agregar un campo nuevo a una receta o ingrediente</w:t>
      </w:r>
    </w:p>
    <w:p>
      <w:pPr>
        <w:pStyle w:val="ListParagraph"/>
        <w:numPr>
          <w:ilvl w:val="0"/>
          <w:numId w:val="1"/>
        </w:numPr>
        <w:spacing w:after="80"/>
      </w:pPr>
      <w:r>
        <w:t xml:space="preserve">Agregar el campo al objeto en seedData() (para nuevas instalaciones) y a blankRecipe()/blankSupplier() (para altas nuevas).</w:t>
      </w:r>
    </w:p>
    <w:p>
      <w:pPr>
        <w:pStyle w:val="ListParagraph"/>
        <w:numPr>
          <w:ilvl w:val="0"/>
          <w:numId w:val="1"/>
        </w:numPr>
        <w:spacing w:after="80"/>
      </w:pPr>
      <w:r>
        <w:t xml:space="preserve">Agregar el input correspondiente en renderRecetaEdit() o renderProveedorEdit(), con su listener oninput/onchange que actualice state.draft.</w:t>
      </w:r>
    </w:p>
    <w:p>
      <w:pPr>
        <w:pStyle w:val="ListParagraph"/>
        <w:numPr>
          <w:ilvl w:val="0"/>
          <w:numId w:val="1"/>
        </w:numPr>
        <w:spacing w:after="80"/>
      </w:pPr>
      <w:r>
        <w:t xml:space="preserve">Mostrar el campo donde corresponda (ficha, tabla, impresión).</w:t>
      </w:r>
    </w:p>
    <w:p>
      <w:pPr>
        <w:pStyle w:val="Heading3"/>
        <w:spacing w:after="100" w:before="200"/>
      </w:pPr>
      <w:r>
        <w:t xml:space="preserve">Agregar una vista nueva</w:t>
      </w:r>
    </w:p>
    <w:p>
      <w:pPr>
        <w:pStyle w:val="ListParagraph"/>
        <w:numPr>
          <w:ilvl w:val="0"/>
          <w:numId w:val="1"/>
        </w:numPr>
        <w:spacing w:after="80"/>
      </w:pPr>
      <w:r>
        <w:t xml:space="preserve">Crear la función renderNombreVista().</w:t>
      </w:r>
    </w:p>
    <w:p>
      <w:pPr>
        <w:pStyle w:val="ListParagraph"/>
        <w:numPr>
          <w:ilvl w:val="0"/>
          <w:numId w:val="1"/>
        </w:numPr>
        <w:spacing w:after="80"/>
      </w:pPr>
      <w:r>
        <w:t xml:space="preserve">Agregarla al router en render().</w:t>
      </w:r>
    </w:p>
    <w:p>
      <w:pPr>
        <w:pStyle w:val="ListParagraph"/>
        <w:numPr>
          <w:ilvl w:val="0"/>
          <w:numId w:val="1"/>
        </w:numPr>
        <w:spacing w:after="80"/>
      </w:pPr>
      <w:r>
        <w:t xml:space="preserve">Agregar la navegación (botón o ítem de menú) que cambie state.view.</w:t>
      </w:r>
    </w:p>
    <w:p>
      <w:pPr>
        <w:pStyle w:val="Heading3"/>
        <w:spacing w:after="100" w:before="200"/>
      </w:pPr>
      <w:r>
        <w:t xml:space="preserve">Cambiar la paleta de colores</w:t>
      </w:r>
    </w:p>
    <w:p>
      <w:pPr>
        <w:pStyle w:val="ListParagraph"/>
        <w:numPr>
          <w:ilvl w:val="0"/>
          <w:numId w:val="1"/>
        </w:numPr>
        <w:spacing w:after="80"/>
      </w:pPr>
      <w:r>
        <w:t xml:space="preserve">Editar únicamente las variables en :root (y su contraparte en [data-theme="dark"]) — el resto del CSS las referencia, así que un cambio ahí se propaga a toda la app.</w:t>
      </w:r>
    </w:p>
    <w:p>
      <w:pPr>
        <w:pStyle w:val="Heading1"/>
        <w:spacing w:after="160" w:before="360"/>
      </w:pPr>
      <w:r>
        <w:t xml:space="preserve">12. Limitaciones conocidas y recomendaciones para el futuro</w:t>
      </w:r>
    </w:p>
    <w:p>
      <w:pPr>
        <w:pStyle w:val="ListParagraph"/>
        <w:numPr>
          <w:ilvl w:val="0"/>
          <w:numId w:val="1"/>
        </w:numPr>
        <w:spacing w:after="80"/>
      </w:pPr>
      <w:r>
        <w:t xml:space="preserve">No hay historial de cambios de precio: al editar un precio, el anterior se pierde. Para agregarlo, se necesitaría guardar un array de {fecha, precio} por ingrediente en vez de un solo campo price.</w:t>
      </w:r>
    </w:p>
    <w:p>
      <w:pPr>
        <w:pStyle w:val="ListParagraph"/>
        <w:numPr>
          <w:ilvl w:val="0"/>
          <w:numId w:val="1"/>
        </w:numPr>
        <w:spacing w:after="80"/>
      </w:pPr>
      <w:r>
        <w:t xml:space="preserve">No hay control de usuarios ni permisos: al ser datos compartidos (shared:true), cualquiera con acceso al artefacto puede editar todo.</w:t>
      </w:r>
    </w:p>
    <w:p>
      <w:pPr>
        <w:pStyle w:val="ListParagraph"/>
        <w:numPr>
          <w:ilvl w:val="0"/>
          <w:numId w:val="1"/>
        </w:numPr>
        <w:spacing w:after="80"/>
      </w:pPr>
      <w:r>
        <w:t xml:space="preserve">No hay fotos de recetas todavía: se evaluó agregarlas en Base64 dentro del mismo DATA, con la recomendación de redimensionar la imagen a un ancho máximo razonable (ej. 800px) antes de guardarla, para no inflar el tamaño del storage.</w:t>
      </w:r>
    </w:p>
    <w:p>
      <w:pPr>
        <w:pStyle w:val="ListParagraph"/>
        <w:numPr>
          <w:ilvl w:val="0"/>
          <w:numId w:val="1"/>
        </w:numPr>
        <w:spacing w:after="80"/>
      </w:pPr>
      <w:r>
        <w:t xml:space="preserve">El archivo es monolítico (un solo .html): a medida que crezca, si se vuelve difícil de mantener, se podría dividir en módulos, aunque eso requeriría un paso de build que hoy no existe.</w:t>
      </w:r>
    </w:p>
    <w:p>
      <w:pPr>
        <w:pStyle w:val="ListParagraph"/>
        <w:numPr>
          <w:ilvl w:val="0"/>
          <w:numId w:val="1"/>
        </w:numPr>
        <w:spacing w:after="80"/>
      </w:pPr>
      <w:r>
        <w:t xml:space="preserve">Ideas evaluadas y priorizadas para el futuro: buscador global (Cmd/Ctrl+K), dashboard de inicio con KPIs, historial de precios, alertas de margen (costo vs. precio de venta), foto por receta, módulos de proveedores/inventario/compras más completos.</w:t>
      </w:r>
    </w:p>
    <w:p>
      <w:pPr>
        <w:pStyle w:val="Heading1"/>
        <w:spacing w:after="160" w:before="360"/>
      </w:pPr>
      <w:r>
        <w:t xml:space="preserve">13. Historial de versiones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8B2E2E" w:val="clear"/>
          </w:tcPr>
          <w:p>
            <w:r>
              <w:rPr>
                <w:b/>
                <w:bCs/>
                <w:color w:val="FFFFFF"/>
                <w:sz w:val="19"/>
                <w:szCs w:val="19"/>
              </w:rPr>
              <w:t xml:space="preserve">Versión</w:t>
            </w:r>
          </w:p>
        </w:tc>
        <w:tc>
          <w:tcPr>
            <w:tcW w:type="dxa" w:w="7400"/>
            <w:shd w:fill="8B2E2E" w:val="clear"/>
          </w:tcPr>
          <w:p>
            <w:r>
              <w:rPr>
                <w:b/>
                <w:bCs/>
                <w:color w:val="FFFFFF"/>
                <w:sz w:val="19"/>
                <w:szCs w:val="19"/>
              </w:rPr>
              <w:t xml:space="preserve">Cambios principales</w:t>
            </w:r>
          </w:p>
        </w:tc>
      </w:tr>
      <w:tr>
        <w:tc>
          <w:tcPr>
            <w:tcW w:type="dxa" w:w="2000"/>
          </w:tcPr>
          <w:p>
            <w:r>
              <w:rPr>
                <w:b w:val="false"/>
                <w:bCs w:val="false"/>
                <w:color w:val="2B2320"/>
                <w:sz w:val="19"/>
                <w:szCs w:val="19"/>
              </w:rPr>
              <w:t xml:space="preserve">v1.0 – v1.5</w:t>
            </w:r>
          </w:p>
        </w:tc>
        <w:tc>
          <w:tcPr>
            <w:tcW w:type="dxa" w:w="7400"/>
          </w:tcPr>
          <w:p>
            <w:r>
              <w:rPr>
                <w:b w:val="false"/>
                <w:bCs w:val="false"/>
                <w:color w:val="2B2320"/>
                <w:sz w:val="19"/>
                <w:szCs w:val="19"/>
              </w:rPr>
              <w:t xml:space="preserve">Versión funcional inicial: recetas, ingredientes, proveedores, escandallo, impresión, libro de recetas.</w:t>
            </w:r>
          </w:p>
        </w:tc>
      </w:tr>
      <w:tr>
        <w:tc>
          <w:tcPr>
            <w:tcW w:type="dxa" w:w="2000"/>
          </w:tcPr>
          <w:p>
            <w:r>
              <w:rPr>
                <w:b w:val="false"/>
                <w:bCs w:val="false"/>
                <w:color w:val="2B2320"/>
                <w:sz w:val="19"/>
                <w:szCs w:val="19"/>
              </w:rPr>
              <w:t xml:space="preserve">v1.6</w:t>
            </w:r>
          </w:p>
        </w:tc>
        <w:tc>
          <w:tcPr>
            <w:tcW w:type="dxa" w:w="7400"/>
          </w:tcPr>
          <w:p>
            <w:r>
              <w:rPr>
                <w:b w:val="false"/>
                <w:bCs w:val="false"/>
                <w:color w:val="2B2320"/>
                <w:sz w:val="19"/>
                <w:szCs w:val="19"/>
              </w:rPr>
              <w:t xml:space="preserve">Botones con sombra y efecto de presión. Primer rediseño de la barra de navegación móvil.</w:t>
            </w:r>
          </w:p>
        </w:tc>
      </w:tr>
      <w:tr>
        <w:tc>
          <w:tcPr>
            <w:tcW w:type="dxa" w:w="2000"/>
          </w:tcPr>
          <w:p>
            <w:r>
              <w:rPr>
                <w:b w:val="false"/>
                <w:bCs w:val="false"/>
                <w:color w:val="2B2320"/>
                <w:sz w:val="19"/>
                <w:szCs w:val="19"/>
              </w:rPr>
              <w:t xml:space="preserve">v1.7</w:t>
            </w:r>
          </w:p>
        </w:tc>
        <w:tc>
          <w:tcPr>
            <w:tcW w:type="dxa" w:w="7400"/>
          </w:tcPr>
          <w:p>
            <w:r>
              <w:rPr>
                <w:b w:val="false"/>
                <w:bCs w:val="false"/>
                <w:color w:val="2B2320"/>
                <w:sz w:val="19"/>
                <w:szCs w:val="19"/>
              </w:rPr>
              <w:t xml:space="preserve">Menú lateral rediseñado: tarjeta blanca flotante sobre fondo rojo para el ítem activo (opción elegida entre 4 propuestas).</w:t>
            </w:r>
          </w:p>
        </w:tc>
      </w:tr>
      <w:tr>
        <w:tc>
          <w:tcPr>
            <w:tcW w:type="dxa" w:w="2000"/>
          </w:tcPr>
          <w:p>
            <w:r>
              <w:rPr>
                <w:b w:val="false"/>
                <w:bCs w:val="false"/>
                <w:color w:val="2B2320"/>
                <w:sz w:val="19"/>
                <w:szCs w:val="19"/>
              </w:rPr>
              <w:t xml:space="preserve">v1.8</w:t>
            </w:r>
          </w:p>
        </w:tc>
        <w:tc>
          <w:tcPr>
            <w:tcW w:type="dxa" w:w="7400"/>
          </w:tcPr>
          <w:p>
            <w:r>
              <w:rPr>
                <w:b w:val="false"/>
                <w:bCs w:val="false"/>
                <w:color w:val="2B2320"/>
                <w:sz w:val="19"/>
                <w:szCs w:val="19"/>
              </w:rPr>
              <w:t xml:space="preserve">Iconos SVG de línea propios reemplazando emojis en el menú.</w:t>
            </w:r>
          </w:p>
        </w:tc>
      </w:tr>
      <w:tr>
        <w:tc>
          <w:tcPr>
            <w:tcW w:type="dxa" w:w="2000"/>
          </w:tcPr>
          <w:p>
            <w:r>
              <w:rPr>
                <w:b w:val="false"/>
                <w:bCs w:val="false"/>
                <w:color w:val="2B2320"/>
                <w:sz w:val="19"/>
                <w:szCs w:val="19"/>
              </w:rPr>
              <w:t xml:space="preserve">v1.9</w:t>
            </w:r>
          </w:p>
        </w:tc>
        <w:tc>
          <w:tcPr>
            <w:tcW w:type="dxa" w:w="7400"/>
          </w:tcPr>
          <w:p>
            <w:r>
              <w:rPr>
                <w:b w:val="false"/>
                <w:bCs w:val="false"/>
                <w:color w:val="2B2320"/>
                <w:sz w:val="19"/>
                <w:szCs w:val="19"/>
              </w:rPr>
              <w:t xml:space="preserve">Corrección de bug: la barra de navegación en móvil se apilaba verticalmente en vez de quedar en fila (flex-direction heredado incorrectamente).</w:t>
            </w:r>
          </w:p>
        </w:tc>
      </w:tr>
      <w:tr>
        <w:tc>
          <w:tcPr>
            <w:tcW w:type="dxa" w:w="2000"/>
          </w:tcPr>
          <w:p>
            <w:r>
              <w:rPr>
                <w:b w:val="false"/>
                <w:bCs w:val="false"/>
                <w:color w:val="2B2320"/>
                <w:sz w:val="19"/>
                <w:szCs w:val="19"/>
              </w:rPr>
              <w:t xml:space="preserve">v1.10</w:t>
            </w:r>
          </w:p>
        </w:tc>
        <w:tc>
          <w:tcPr>
            <w:tcW w:type="dxa" w:w="7400"/>
          </w:tcPr>
          <w:p>
            <w:r>
              <w:rPr>
                <w:b w:val="false"/>
                <w:bCs w:val="false"/>
                <w:color w:val="2B2320"/>
                <w:sz w:val="19"/>
                <w:szCs w:val="19"/>
              </w:rPr>
              <w:t xml:space="preserve">Corrección de bug: la primera receta del libro no llevaba salto de página y quedaba pegada al índice.</w:t>
            </w:r>
          </w:p>
        </w:tc>
      </w:tr>
      <w:tr>
        <w:tc>
          <w:tcPr>
            <w:tcW w:type="dxa" w:w="2000"/>
          </w:tcPr>
          <w:p>
            <w:r>
              <w:rPr>
                <w:b w:val="false"/>
                <w:bCs w:val="false"/>
                <w:color w:val="2B2320"/>
                <w:sz w:val="19"/>
                <w:szCs w:val="19"/>
              </w:rPr>
              <w:t xml:space="preserve">v1.11</w:t>
            </w:r>
          </w:p>
        </w:tc>
        <w:tc>
          <w:tcPr>
            <w:tcW w:type="dxa" w:w="7400"/>
          </w:tcPr>
          <w:p>
            <w:r>
              <w:rPr>
                <w:b w:val="false"/>
                <w:bCs w:val="false"/>
                <w:color w:val="2B2320"/>
                <w:sz w:val="19"/>
                <w:szCs w:val="19"/>
              </w:rPr>
              <w:t xml:space="preserve">Encabezados de impresión rediseñados (fondo blanco + línea dorada) para evitar el problema de fondos de color no impresos por el navegador.</w:t>
            </w:r>
          </w:p>
        </w:tc>
      </w:tr>
      <w:tr>
        <w:tc>
          <w:tcPr>
            <w:tcW w:type="dxa" w:w="2000"/>
          </w:tcPr>
          <w:p>
            <w:r>
              <w:rPr>
                <w:b w:val="false"/>
                <w:bCs w:val="false"/>
                <w:color w:val="2B2320"/>
                <w:sz w:val="19"/>
                <w:szCs w:val="19"/>
              </w:rPr>
              <w:t xml:space="preserve">v1.12</w:t>
            </w:r>
          </w:p>
        </w:tc>
        <w:tc>
          <w:tcPr>
            <w:tcW w:type="dxa" w:w="7400"/>
          </w:tcPr>
          <w:p>
            <w:r>
              <w:rPr>
                <w:b w:val="false"/>
                <w:bCs w:val="false"/>
                <w:color w:val="2B2320"/>
                <w:sz w:val="19"/>
                <w:szCs w:val="19"/>
              </w:rPr>
              <w:t xml:space="preserve">Datos pasados a almacenamiento compartido (shared:true). Modo oscuro completo con toggle en escritorio y móvil.</w:t>
            </w:r>
          </w:p>
        </w:tc>
      </w:tr>
      <w:tr>
        <w:tc>
          <w:tcPr>
            <w:tcW w:type="dxa" w:w="2000"/>
          </w:tcPr>
          <w:p>
            <w:r>
              <w:rPr>
                <w:b w:val="false"/>
                <w:bCs w:val="false"/>
                <w:color w:val="2B2320"/>
                <w:sz w:val="19"/>
                <w:szCs w:val="19"/>
              </w:rPr>
              <w:t xml:space="preserve">v1.13</w:t>
            </w:r>
          </w:p>
        </w:tc>
        <w:tc>
          <w:tcPr>
            <w:tcW w:type="dxa" w:w="7400"/>
          </w:tcPr>
          <w:p>
            <w:r>
              <w:rPr>
                <w:b w:val="false"/>
                <w:bCs w:val="false"/>
                <w:color w:val="2B2320"/>
                <w:sz w:val="19"/>
                <w:szCs w:val="19"/>
              </w:rPr>
              <w:t xml:space="preserve">Transiciones suaves entre vistas, skeleton loader de carga, estados vacíos de búsqueda con ícono y mensaje, toasts diferenciados por tipo (éxito / error).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A441" w:sz="8" w:space="4"/>
      </w:pBdr>
      <w:spacing w:after="160" w:before="360"/>
    </w:pPr>
    <w:rPr>
      <w:b/>
      <w:bCs/>
      <w:color w:val="8B2E2E"/>
      <w:sz w:val="32"/>
      <w:szCs w:val="32"/>
    </w:rPr>
  </w:style>
  <w:style w:type="paragraph" w:styleId="Heading2">
    <w:name w:val="Heading 2"/>
    <w:basedOn w:val="Normal"/>
    <w:next w:val="Normal"/>
    <w:qFormat/>
    <w:rPr>
      <w:b/>
      <w:bCs/>
      <w:color w:val="8B2E2E"/>
      <w:sz w:val="26"/>
      <w:szCs w:val="26"/>
    </w:rPr>
  </w:style>
  <w:style w:type="paragraph" w:styleId="Heading3">
    <w:name w:val="Heading 3"/>
    <w:basedOn w:val="Normal"/>
    <w:next w:val="Normal"/>
    <w:qFormat/>
    <w:rPr>
      <w:b/>
      <w:bCs/>
      <w:color w:val="2B23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2026-07-21T20:48:07.965Z</dcterms:created>
  <dcterms:modified xsi:type="dcterms:W3CDTF">2026-07-21T20:48:07.977Z</dcterms:modified>
</cp:coreProperties>
</file>

<file path=docProps/custom.xml><?xml version="1.0" encoding="utf-8"?>
<Properties xmlns="http://schemas.openxmlformats.org/officeDocument/2006/custom-properties" xmlns:vt="http://schemas.openxmlformats.org/officeDocument/2006/docPropsVTypes"/>
</file>