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InterMedium-bold.ttf" ContentType="application/x-font-ttf"/>
  <Override PartName="/word/fonts/InterMedium-boldItalic.ttf" ContentType="application/x-font-ttf"/>
  <Override PartName="/word/fonts/InterMedium-italic.ttf" ContentType="application/x-font-ttf"/>
  <Override PartName="/word/fonts/InterMedium-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pPr>
        <w:pStyle w:val="Title"/>
      </w:pPr>
      <w:r>
        <w:t>Reinforcement Learning VU (708.006), Summer Term 2026, Assignment 2 Report</w:t>
      </w:r>
    </w:p>
    <w:p>
      <w:pPr>
        <w:pStyle w:val="Heading1"/>
      </w:pPr>
      <w:r>
        <w:t>Submission Details</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513"/>
        <w:gridCol w:w="4513"/>
      </w:tblGrid>
      <w:tr>
        <w:tc>
          <w:tcPr>
            <w:tcW w:type="dxa" w:w="2268"/>
            <w:shd w:val="clear" w:color="auto" w:fill="1D4E79"/>
          </w:tcPr>
          <w:p>
            <w:pPr>
              <w:jc w:val="center"/>
            </w:pPr>
            <w:r/>
            <w:r>
              <w:rPr>
                <w:b/>
                <w:color w:val="FFFFFF"/>
                <w:sz w:val="20"/>
              </w:rPr>
              <w:t>Item</w:t>
            </w:r>
          </w:p>
        </w:tc>
        <w:tc>
          <w:tcPr>
            <w:tcW w:type="dxa" w:w="6520"/>
            <w:shd w:val="clear" w:color="auto" w:fill="1D4E79"/>
          </w:tcPr>
          <w:p>
            <w:pPr>
              <w:jc w:val="center"/>
            </w:pPr>
            <w:r/>
            <w:r>
              <w:rPr>
                <w:b/>
                <w:color w:val="FFFFFF"/>
                <w:sz w:val="20"/>
              </w:rPr>
              <w:t>Value</w:t>
            </w:r>
          </w:p>
        </w:tc>
      </w:tr>
      <w:tr>
        <w:tc>
          <w:tcPr>
            <w:tcW w:type="dxa" w:w="2268"/>
          </w:tcPr>
          <w:p>
            <w:r/>
            <w:r>
              <w:rPr>
                <w:sz w:val="20"/>
              </w:rPr>
              <w:t>Student Name</w:t>
            </w:r>
          </w:p>
        </w:tc>
        <w:tc>
          <w:tcPr>
            <w:tcW w:type="dxa" w:w="6520"/>
          </w:tcPr>
          <w:p>
            <w:pPr>
              <w:jc w:val="center"/>
            </w:pPr>
            <w:r/>
            <w:r>
              <w:rPr>
                <w:sz w:val="20"/>
              </w:rPr>
              <w:t>Joachim Rath</w:t>
            </w:r>
          </w:p>
        </w:tc>
      </w:tr>
      <w:tr>
        <w:tc>
          <w:tcPr>
            <w:tcW w:type="dxa" w:w="2268"/>
            <w:shd w:val="clear" w:color="auto" w:fill="EEF3F9"/>
          </w:tcPr>
          <w:p>
            <w:r/>
            <w:r>
              <w:rPr>
                <w:sz w:val="20"/>
              </w:rPr>
              <w:t>Student ID</w:t>
            </w:r>
          </w:p>
        </w:tc>
        <w:tc>
          <w:tcPr>
            <w:tcW w:type="dxa" w:w="6520"/>
            <w:shd w:val="clear" w:color="auto" w:fill="EEF3F9"/>
          </w:tcPr>
          <w:p>
            <w:pPr>
              <w:jc w:val="center"/>
            </w:pPr>
            <w:r/>
            <w:r>
              <w:rPr>
                <w:sz w:val="20"/>
              </w:rPr>
              <w:t>51811071</w:t>
            </w:r>
          </w:p>
        </w:tc>
      </w:tr>
      <w:tr>
        <w:tc>
          <w:tcPr>
            <w:tcW w:type="dxa" w:w="2268"/>
          </w:tcPr>
          <w:p>
            <w:r/>
            <w:r>
              <w:rPr>
                <w:sz w:val="20"/>
              </w:rPr>
              <w:t>Course</w:t>
            </w:r>
          </w:p>
        </w:tc>
        <w:tc>
          <w:tcPr>
            <w:tcW w:type="dxa" w:w="6520"/>
          </w:tcPr>
          <w:p>
            <w:pPr>
              <w:jc w:val="center"/>
            </w:pPr>
            <w:r/>
            <w:r>
              <w:rPr>
                <w:sz w:val="20"/>
              </w:rPr>
              <w:t>Reinforcement Learning VU (708.006)</w:t>
            </w:r>
          </w:p>
        </w:tc>
      </w:tr>
      <w:tr>
        <w:tc>
          <w:tcPr>
            <w:tcW w:type="dxa" w:w="2268"/>
            <w:shd w:val="clear" w:color="auto" w:fill="EEF3F9"/>
          </w:tcPr>
          <w:p>
            <w:r/>
            <w:r>
              <w:rPr>
                <w:sz w:val="20"/>
              </w:rPr>
              <w:t>Due Date</w:t>
            </w:r>
          </w:p>
        </w:tc>
        <w:tc>
          <w:tcPr>
            <w:tcW w:type="dxa" w:w="6520"/>
            <w:shd w:val="clear" w:color="auto" w:fill="EEF3F9"/>
          </w:tcPr>
          <w:p>
            <w:pPr>
              <w:jc w:val="center"/>
            </w:pPr>
            <w:r/>
            <w:r>
              <w:rPr>
                <w:sz w:val="20"/>
              </w:rPr>
              <w:t>19.06.2026 23:59</w:t>
            </w:r>
          </w:p>
        </w:tc>
      </w:tr>
    </w:tbl>
    <w:p>
      <w:pPr>
        <w:spacing w:after="40"/>
      </w:pPr>
    </w:p>
    <w:p>
      <w:pPr>
        <w:pStyle w:val="Heading1"/>
      </w:pPr>
      <w:r>
        <w:t>1 Reinforcement Learning in a Grid World</w:t>
      </w:r>
    </w:p>
    <w:p>
      <w:pPr>
        <w:jc w:val="both"/>
      </w:pPr>
      <w:r>
        <w:t>In this part the agent has to control the 4×4 slippery FrozenLake without knowing the transition model. It keeps a tabular Q(s,a) and learns by temporal-difference (TD) control while acting ε-greedily. I train each agent for 10 000 episodes with ε decaying from 1, and then test the greedy policy (ε = 0) for 5 000 episodes. The only reward is 1 for reaching the goal.</w:t>
      </w:r>
    </w:p>
    <w:p>
      <w:pPr>
        <w:pStyle w:val="Heading2"/>
      </w:pPr>
      <w:r>
        <w:t>1.1 Algorithms</w:t>
      </w:r>
    </w:p>
    <w:p>
      <w:pPr>
        <w:jc w:val="both"/>
      </w:pPr>
      <w:r>
        <w:rPr>
          <w:b/>
          <w:i w:val="0"/>
        </w:rPr>
        <w:t>ε-greedy</w:t>
      </w:r>
      <w:r>
        <w:t xml:space="preserve"> means a random action with probability ε and arg max over a of Q(s,a) otherwise; for testing I set ε = 0. The three methods only differ in the TD target used in Q(s,a) ← Q(s,a) + α·[target − Q(s,a)]. When the next state is terminal the bootstrap term is dropped:</w:t>
      </w:r>
    </w:p>
    <w:p>
      <w:pPr>
        <w:spacing w:after="40" w:before="20"/>
        <w:ind w:left="397"/>
      </w:pPr>
      <w:r>
        <w:rPr>
          <w:sz w:val="20"/>
        </w:rPr>
        <w:t>SARSA:           target = r + γ · Q(s′, a′),   a′ from the policy</w:t>
      </w:r>
    </w:p>
    <w:p>
      <w:pPr>
        <w:spacing w:after="40" w:before="20"/>
        <w:ind w:left="397"/>
      </w:pPr>
      <w:r>
        <w:rPr>
          <w:sz w:val="20"/>
        </w:rPr>
        <w:t>Q-Learning:      target = r + γ · max_a′ Q(s′, a′)</w:t>
      </w:r>
    </w:p>
    <w:p>
      <w:pPr>
        <w:spacing w:after="40" w:before="20"/>
        <w:ind w:left="397"/>
      </w:pPr>
      <w:r>
        <w:rPr>
          <w:sz w:val="20"/>
        </w:rPr>
        <w:t>Expected SARSA:  target = r + γ · Σ_a′ π(a′|s′) · Q(s′, a′)</w:t>
      </w:r>
    </w:p>
    <w:p>
      <w:pPr>
        <w:jc w:val="both"/>
      </w:pPr>
      <w:r>
        <w:t>For an ε-greedy policy the Expected-SARSA expectation is just ε · mean_a Q(s′,a) + (1−ε) · max_a Q(s′,a).</w:t>
      </w:r>
    </w:p>
    <w:p>
      <w:pPr>
        <w:pStyle w:val="Heading2"/>
      </w:pPr>
      <w:r>
        <w:t>1.2 Hyperparameters and results</w:t>
      </w:r>
    </w:p>
    <w:p>
      <w:pPr>
        <w:jc w:val="both"/>
      </w:pPr>
      <w:r>
        <w:t>I tuned α and eps_decay separately for each algorithm and γ with a grid search over α ∈ {0.01, 0.05, 0.1, 0.2, 0.5} and eps_decay ∈ {0.998, 0.999, 0.9993, 0.9995, 0.9997}, scoring each setting by the mean test return over 3 seeds. α = 0.01 was always too slow. For γ = 0.95 all three methods reached about 0.78 over a wide range of α. For γ = 1.0 Q-Learning was unstable: with α ≥ 0.05 and slow ε-decay it often diverged to a useless policy (return 0), and only α = 0.05 worked, while SARSA and Expected SARSA stayed stable. Table 1 shows the values I used and the returns I got; all six are close to Policy Iteration (0.786 for γ = 0.95, 0.826 for γ = 1.0).</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289"/>
        <w:gridCol w:w="1289"/>
        <w:gridCol w:w="1289"/>
        <w:gridCol w:w="1289"/>
        <w:gridCol w:w="1289"/>
        <w:gridCol w:w="1289"/>
        <w:gridCol w:w="1289"/>
      </w:tblGrid>
      <w:tr>
        <w:tc>
          <w:tcPr>
            <w:tcW w:type="dxa" w:w="1928"/>
            <w:shd w:val="clear" w:color="auto" w:fill="1D4E79"/>
          </w:tcPr>
          <w:p>
            <w:pPr>
              <w:jc w:val="center"/>
            </w:pPr>
            <w:r/>
            <w:r>
              <w:rPr>
                <w:b/>
                <w:color w:val="FFFFFF"/>
                <w:sz w:val="17"/>
              </w:rPr>
              <w:t>Algorithm</w:t>
            </w:r>
          </w:p>
        </w:tc>
        <w:tc>
          <w:tcPr>
            <w:tcW w:type="dxa" w:w="680"/>
            <w:shd w:val="clear" w:color="auto" w:fill="1D4E79"/>
          </w:tcPr>
          <w:p>
            <w:pPr>
              <w:jc w:val="center"/>
            </w:pPr>
            <w:r/>
            <w:r>
              <w:rPr>
                <w:b/>
                <w:color w:val="FFFFFF"/>
                <w:sz w:val="17"/>
              </w:rPr>
              <w:t>γ</w:t>
            </w:r>
          </w:p>
        </w:tc>
        <w:tc>
          <w:tcPr>
            <w:tcW w:type="dxa" w:w="680"/>
            <w:shd w:val="clear" w:color="auto" w:fill="1D4E79"/>
          </w:tcPr>
          <w:p>
            <w:pPr>
              <w:jc w:val="center"/>
            </w:pPr>
            <w:r/>
            <w:r>
              <w:rPr>
                <w:b/>
                <w:color w:val="FFFFFF"/>
                <w:sz w:val="17"/>
              </w:rPr>
              <w:t>α</w:t>
            </w:r>
          </w:p>
        </w:tc>
        <w:tc>
          <w:tcPr>
            <w:tcW w:type="dxa" w:w="1247"/>
            <w:shd w:val="clear" w:color="auto" w:fill="1D4E79"/>
          </w:tcPr>
          <w:p>
            <w:pPr>
              <w:jc w:val="center"/>
            </w:pPr>
            <w:r/>
            <w:r>
              <w:rPr>
                <w:b/>
                <w:color w:val="FFFFFF"/>
                <w:sz w:val="17"/>
              </w:rPr>
              <w:t>eps_decay</w:t>
            </w:r>
          </w:p>
        </w:tc>
        <w:tc>
          <w:tcPr>
            <w:tcW w:type="dxa" w:w="1134"/>
            <w:shd w:val="clear" w:color="auto" w:fill="1D4E79"/>
          </w:tcPr>
          <w:p>
            <w:pPr>
              <w:jc w:val="center"/>
            </w:pPr>
            <w:r/>
            <w:r>
              <w:rPr>
                <w:b/>
                <w:color w:val="FFFFFF"/>
                <w:sz w:val="17"/>
              </w:rPr>
              <w:t>train R</w:t>
            </w:r>
          </w:p>
        </w:tc>
        <w:tc>
          <w:tcPr>
            <w:tcW w:type="dxa" w:w="1020"/>
            <w:shd w:val="clear" w:color="auto" w:fill="1D4E79"/>
          </w:tcPr>
          <w:p>
            <w:pPr>
              <w:jc w:val="center"/>
            </w:pPr>
            <w:r/>
            <w:r>
              <w:rPr>
                <w:b/>
                <w:color w:val="FFFFFF"/>
                <w:sz w:val="17"/>
              </w:rPr>
              <w:t>test R</w:t>
            </w:r>
          </w:p>
        </w:tc>
        <w:tc>
          <w:tcPr>
            <w:tcW w:type="dxa" w:w="1077"/>
            <w:shd w:val="clear" w:color="auto" w:fill="1D4E79"/>
          </w:tcPr>
          <w:p>
            <w:pPr>
              <w:jc w:val="center"/>
            </w:pPr>
            <w:r/>
            <w:r>
              <w:rPr>
                <w:b/>
                <w:color w:val="FFFFFF"/>
                <w:sz w:val="17"/>
              </w:rPr>
              <w:t>PI test</w:t>
            </w:r>
          </w:p>
        </w:tc>
      </w:tr>
      <w:tr>
        <w:tc>
          <w:tcPr>
            <w:tcW w:type="dxa" w:w="1928"/>
          </w:tcPr>
          <w:p>
            <w:r/>
            <w:r>
              <w:rPr>
                <w:sz w:val="17"/>
              </w:rPr>
              <w:t>SARSA</w:t>
            </w:r>
          </w:p>
        </w:tc>
        <w:tc>
          <w:tcPr>
            <w:tcW w:type="dxa" w:w="680"/>
          </w:tcPr>
          <w:p>
            <w:pPr>
              <w:jc w:val="center"/>
            </w:pPr>
            <w:r/>
            <w:r>
              <w:rPr>
                <w:sz w:val="17"/>
              </w:rPr>
              <w:t>0.95</w:t>
            </w:r>
          </w:p>
        </w:tc>
        <w:tc>
          <w:tcPr>
            <w:tcW w:type="dxa" w:w="680"/>
          </w:tcPr>
          <w:p>
            <w:pPr>
              <w:jc w:val="center"/>
            </w:pPr>
            <w:r/>
            <w:r>
              <w:rPr>
                <w:sz w:val="17"/>
              </w:rPr>
              <w:t>0.05</w:t>
            </w:r>
          </w:p>
        </w:tc>
        <w:tc>
          <w:tcPr>
            <w:tcW w:type="dxa" w:w="1247"/>
          </w:tcPr>
          <w:p>
            <w:pPr>
              <w:jc w:val="center"/>
            </w:pPr>
            <w:r/>
            <w:r>
              <w:rPr>
                <w:sz w:val="17"/>
              </w:rPr>
              <w:t>0.9993</w:t>
            </w:r>
          </w:p>
        </w:tc>
        <w:tc>
          <w:tcPr>
            <w:tcW w:type="dxa" w:w="1134"/>
          </w:tcPr>
          <w:p>
            <w:pPr>
              <w:jc w:val="center"/>
            </w:pPr>
            <w:r/>
            <w:r>
              <w:rPr>
                <w:sz w:val="17"/>
              </w:rPr>
              <w:t>0.49</w:t>
            </w:r>
          </w:p>
        </w:tc>
        <w:tc>
          <w:tcPr>
            <w:tcW w:type="dxa" w:w="1020"/>
          </w:tcPr>
          <w:p>
            <w:pPr>
              <w:jc w:val="center"/>
            </w:pPr>
            <w:r/>
            <w:r>
              <w:rPr>
                <w:sz w:val="17"/>
              </w:rPr>
              <w:t>0.77</w:t>
            </w:r>
          </w:p>
        </w:tc>
        <w:tc>
          <w:tcPr>
            <w:tcW w:type="dxa" w:w="1077"/>
          </w:tcPr>
          <w:p>
            <w:pPr>
              <w:jc w:val="center"/>
            </w:pPr>
            <w:r/>
            <w:r>
              <w:rPr>
                <w:sz w:val="17"/>
              </w:rPr>
              <w:t>0.786</w:t>
            </w:r>
          </w:p>
        </w:tc>
      </w:tr>
      <w:tr>
        <w:tc>
          <w:tcPr>
            <w:tcW w:type="dxa" w:w="1928"/>
            <w:shd w:val="clear" w:color="auto" w:fill="EEF3F9"/>
          </w:tcPr>
          <w:p>
            <w:r/>
            <w:r>
              <w:rPr>
                <w:sz w:val="17"/>
              </w:rPr>
              <w:t>Q-Learning</w:t>
            </w:r>
          </w:p>
        </w:tc>
        <w:tc>
          <w:tcPr>
            <w:tcW w:type="dxa" w:w="680"/>
            <w:shd w:val="clear" w:color="auto" w:fill="EEF3F9"/>
          </w:tcPr>
          <w:p>
            <w:pPr>
              <w:jc w:val="center"/>
            </w:pPr>
            <w:r/>
            <w:r>
              <w:rPr>
                <w:sz w:val="17"/>
              </w:rPr>
              <w:t>0.95</w:t>
            </w:r>
          </w:p>
        </w:tc>
        <w:tc>
          <w:tcPr>
            <w:tcW w:type="dxa" w:w="680"/>
            <w:shd w:val="clear" w:color="auto" w:fill="EEF3F9"/>
          </w:tcPr>
          <w:p>
            <w:pPr>
              <w:jc w:val="center"/>
            </w:pPr>
            <w:r/>
            <w:r>
              <w:rPr>
                <w:sz w:val="17"/>
              </w:rPr>
              <w:t>0.10</w:t>
            </w:r>
          </w:p>
        </w:tc>
        <w:tc>
          <w:tcPr>
            <w:tcW w:type="dxa" w:w="1247"/>
            <w:shd w:val="clear" w:color="auto" w:fill="EEF3F9"/>
          </w:tcPr>
          <w:p>
            <w:pPr>
              <w:jc w:val="center"/>
            </w:pPr>
            <w:r/>
            <w:r>
              <w:rPr>
                <w:sz w:val="17"/>
              </w:rPr>
              <w:t>0.9990</w:t>
            </w:r>
          </w:p>
        </w:tc>
        <w:tc>
          <w:tcPr>
            <w:tcW w:type="dxa" w:w="1134"/>
            <w:shd w:val="clear" w:color="auto" w:fill="EEF3F9"/>
          </w:tcPr>
          <w:p>
            <w:pPr>
              <w:jc w:val="center"/>
            </w:pPr>
            <w:r/>
            <w:r>
              <w:rPr>
                <w:sz w:val="17"/>
              </w:rPr>
              <w:t>0.55</w:t>
            </w:r>
          </w:p>
        </w:tc>
        <w:tc>
          <w:tcPr>
            <w:tcW w:type="dxa" w:w="1020"/>
            <w:shd w:val="clear" w:color="auto" w:fill="EEF3F9"/>
          </w:tcPr>
          <w:p>
            <w:pPr>
              <w:jc w:val="center"/>
            </w:pPr>
            <w:r/>
            <w:r>
              <w:rPr>
                <w:sz w:val="17"/>
              </w:rPr>
              <w:t>0.78</w:t>
            </w:r>
          </w:p>
        </w:tc>
        <w:tc>
          <w:tcPr>
            <w:tcW w:type="dxa" w:w="1077"/>
            <w:shd w:val="clear" w:color="auto" w:fill="EEF3F9"/>
          </w:tcPr>
          <w:p>
            <w:pPr>
              <w:jc w:val="center"/>
            </w:pPr>
            <w:r/>
            <w:r>
              <w:rPr>
                <w:sz w:val="17"/>
              </w:rPr>
              <w:t>0.786</w:t>
            </w:r>
          </w:p>
        </w:tc>
      </w:tr>
      <w:tr>
        <w:tc>
          <w:tcPr>
            <w:tcW w:type="dxa" w:w="1928"/>
          </w:tcPr>
          <w:p>
            <w:r/>
            <w:r>
              <w:rPr>
                <w:sz w:val="17"/>
              </w:rPr>
              <w:t>Expected SARSA</w:t>
            </w:r>
          </w:p>
        </w:tc>
        <w:tc>
          <w:tcPr>
            <w:tcW w:type="dxa" w:w="680"/>
          </w:tcPr>
          <w:p>
            <w:pPr>
              <w:jc w:val="center"/>
            </w:pPr>
            <w:r/>
            <w:r>
              <w:rPr>
                <w:sz w:val="17"/>
              </w:rPr>
              <w:t>0.95</w:t>
            </w:r>
          </w:p>
        </w:tc>
        <w:tc>
          <w:tcPr>
            <w:tcW w:type="dxa" w:w="680"/>
          </w:tcPr>
          <w:p>
            <w:pPr>
              <w:jc w:val="center"/>
            </w:pPr>
            <w:r/>
            <w:r>
              <w:rPr>
                <w:sz w:val="17"/>
              </w:rPr>
              <w:t>0.10</w:t>
            </w:r>
          </w:p>
        </w:tc>
        <w:tc>
          <w:tcPr>
            <w:tcW w:type="dxa" w:w="1247"/>
          </w:tcPr>
          <w:p>
            <w:pPr>
              <w:jc w:val="center"/>
            </w:pPr>
            <w:r/>
            <w:r>
              <w:rPr>
                <w:sz w:val="17"/>
              </w:rPr>
              <w:t>0.9993</w:t>
            </w:r>
          </w:p>
        </w:tc>
        <w:tc>
          <w:tcPr>
            <w:tcW w:type="dxa" w:w="1134"/>
          </w:tcPr>
          <w:p>
            <w:pPr>
              <w:jc w:val="center"/>
            </w:pPr>
            <w:r/>
            <w:r>
              <w:rPr>
                <w:sz w:val="17"/>
              </w:rPr>
              <w:t>0.48</w:t>
            </w:r>
          </w:p>
        </w:tc>
        <w:tc>
          <w:tcPr>
            <w:tcW w:type="dxa" w:w="1020"/>
          </w:tcPr>
          <w:p>
            <w:pPr>
              <w:jc w:val="center"/>
            </w:pPr>
            <w:r/>
            <w:r>
              <w:rPr>
                <w:sz w:val="17"/>
              </w:rPr>
              <w:t>0.78</w:t>
            </w:r>
          </w:p>
        </w:tc>
        <w:tc>
          <w:tcPr>
            <w:tcW w:type="dxa" w:w="1077"/>
          </w:tcPr>
          <w:p>
            <w:pPr>
              <w:jc w:val="center"/>
            </w:pPr>
            <w:r/>
            <w:r>
              <w:rPr>
                <w:sz w:val="17"/>
              </w:rPr>
              <w:t>0.786</w:t>
            </w:r>
          </w:p>
        </w:tc>
      </w:tr>
      <w:tr>
        <w:tc>
          <w:tcPr>
            <w:tcW w:type="dxa" w:w="1928"/>
            <w:shd w:val="clear" w:color="auto" w:fill="EEF3F9"/>
          </w:tcPr>
          <w:p>
            <w:r/>
            <w:r>
              <w:rPr>
                <w:sz w:val="17"/>
              </w:rPr>
              <w:t>SARSA</w:t>
            </w:r>
          </w:p>
        </w:tc>
        <w:tc>
          <w:tcPr>
            <w:tcW w:type="dxa" w:w="680"/>
            <w:shd w:val="clear" w:color="auto" w:fill="EEF3F9"/>
          </w:tcPr>
          <w:p>
            <w:pPr>
              <w:jc w:val="center"/>
            </w:pPr>
            <w:r/>
            <w:r>
              <w:rPr>
                <w:sz w:val="17"/>
              </w:rPr>
              <w:t>1.0</w:t>
            </w:r>
          </w:p>
        </w:tc>
        <w:tc>
          <w:tcPr>
            <w:tcW w:type="dxa" w:w="680"/>
            <w:shd w:val="clear" w:color="auto" w:fill="EEF3F9"/>
          </w:tcPr>
          <w:p>
            <w:pPr>
              <w:jc w:val="center"/>
            </w:pPr>
            <w:r/>
            <w:r>
              <w:rPr>
                <w:sz w:val="17"/>
              </w:rPr>
              <w:t>0.10</w:t>
            </w:r>
          </w:p>
        </w:tc>
        <w:tc>
          <w:tcPr>
            <w:tcW w:type="dxa" w:w="1247"/>
            <w:shd w:val="clear" w:color="auto" w:fill="EEF3F9"/>
          </w:tcPr>
          <w:p>
            <w:pPr>
              <w:jc w:val="center"/>
            </w:pPr>
            <w:r/>
            <w:r>
              <w:rPr>
                <w:sz w:val="17"/>
              </w:rPr>
              <w:t>0.9997</w:t>
            </w:r>
          </w:p>
        </w:tc>
        <w:tc>
          <w:tcPr>
            <w:tcW w:type="dxa" w:w="1134"/>
            <w:shd w:val="clear" w:color="auto" w:fill="EEF3F9"/>
          </w:tcPr>
          <w:p>
            <w:pPr>
              <w:jc w:val="center"/>
            </w:pPr>
            <w:r/>
            <w:r>
              <w:rPr>
                <w:sz w:val="17"/>
              </w:rPr>
              <w:t>0.23</w:t>
            </w:r>
          </w:p>
        </w:tc>
        <w:tc>
          <w:tcPr>
            <w:tcW w:type="dxa" w:w="1020"/>
            <w:shd w:val="clear" w:color="auto" w:fill="EEF3F9"/>
          </w:tcPr>
          <w:p>
            <w:pPr>
              <w:jc w:val="center"/>
            </w:pPr>
            <w:r/>
            <w:r>
              <w:rPr>
                <w:sz w:val="17"/>
              </w:rPr>
              <w:t>0.82</w:t>
            </w:r>
          </w:p>
        </w:tc>
        <w:tc>
          <w:tcPr>
            <w:tcW w:type="dxa" w:w="1077"/>
            <w:shd w:val="clear" w:color="auto" w:fill="EEF3F9"/>
          </w:tcPr>
          <w:p>
            <w:pPr>
              <w:jc w:val="center"/>
            </w:pPr>
            <w:r/>
            <w:r>
              <w:rPr>
                <w:sz w:val="17"/>
              </w:rPr>
              <w:t>0.826</w:t>
            </w:r>
          </w:p>
        </w:tc>
      </w:tr>
      <w:tr>
        <w:tc>
          <w:tcPr>
            <w:tcW w:type="dxa" w:w="1928"/>
          </w:tcPr>
          <w:p>
            <w:r/>
            <w:r>
              <w:rPr>
                <w:sz w:val="17"/>
              </w:rPr>
              <w:t>Q-Learning</w:t>
            </w:r>
          </w:p>
        </w:tc>
        <w:tc>
          <w:tcPr>
            <w:tcW w:type="dxa" w:w="680"/>
          </w:tcPr>
          <w:p>
            <w:pPr>
              <w:jc w:val="center"/>
            </w:pPr>
            <w:r/>
            <w:r>
              <w:rPr>
                <w:sz w:val="17"/>
              </w:rPr>
              <w:t>1.0</w:t>
            </w:r>
          </w:p>
        </w:tc>
        <w:tc>
          <w:tcPr>
            <w:tcW w:type="dxa" w:w="680"/>
          </w:tcPr>
          <w:p>
            <w:pPr>
              <w:jc w:val="center"/>
            </w:pPr>
            <w:r/>
            <w:r>
              <w:rPr>
                <w:sz w:val="17"/>
              </w:rPr>
              <w:t>0.05</w:t>
            </w:r>
          </w:p>
        </w:tc>
        <w:tc>
          <w:tcPr>
            <w:tcW w:type="dxa" w:w="1247"/>
          </w:tcPr>
          <w:p>
            <w:pPr>
              <w:jc w:val="center"/>
            </w:pPr>
            <w:r/>
            <w:r>
              <w:rPr>
                <w:sz w:val="17"/>
              </w:rPr>
              <w:t>0.9993</w:t>
            </w:r>
          </w:p>
        </w:tc>
        <w:tc>
          <w:tcPr>
            <w:tcW w:type="dxa" w:w="1134"/>
          </w:tcPr>
          <w:p>
            <w:pPr>
              <w:jc w:val="center"/>
            </w:pPr>
            <w:r/>
            <w:r>
              <w:rPr>
                <w:sz w:val="17"/>
              </w:rPr>
              <w:t>0.51</w:t>
            </w:r>
          </w:p>
        </w:tc>
        <w:tc>
          <w:tcPr>
            <w:tcW w:type="dxa" w:w="1020"/>
          </w:tcPr>
          <w:p>
            <w:pPr>
              <w:jc w:val="center"/>
            </w:pPr>
            <w:r/>
            <w:r>
              <w:rPr>
                <w:sz w:val="17"/>
              </w:rPr>
              <w:t>0.77</w:t>
            </w:r>
          </w:p>
        </w:tc>
        <w:tc>
          <w:tcPr>
            <w:tcW w:type="dxa" w:w="1077"/>
          </w:tcPr>
          <w:p>
            <w:pPr>
              <w:jc w:val="center"/>
            </w:pPr>
            <w:r/>
            <w:r>
              <w:rPr>
                <w:sz w:val="17"/>
              </w:rPr>
              <w:t>0.826</w:t>
            </w:r>
          </w:p>
        </w:tc>
      </w:tr>
      <w:tr>
        <w:tc>
          <w:tcPr>
            <w:tcW w:type="dxa" w:w="1928"/>
            <w:shd w:val="clear" w:color="auto" w:fill="EEF3F9"/>
          </w:tcPr>
          <w:p>
            <w:r/>
            <w:r>
              <w:rPr>
                <w:sz w:val="17"/>
              </w:rPr>
              <w:t>Expected SARSA</w:t>
            </w:r>
          </w:p>
        </w:tc>
        <w:tc>
          <w:tcPr>
            <w:tcW w:type="dxa" w:w="680"/>
            <w:shd w:val="clear" w:color="auto" w:fill="EEF3F9"/>
          </w:tcPr>
          <w:p>
            <w:pPr>
              <w:jc w:val="center"/>
            </w:pPr>
            <w:r/>
            <w:r>
              <w:rPr>
                <w:sz w:val="17"/>
              </w:rPr>
              <w:t>1.0</w:t>
            </w:r>
          </w:p>
        </w:tc>
        <w:tc>
          <w:tcPr>
            <w:tcW w:type="dxa" w:w="680"/>
            <w:shd w:val="clear" w:color="auto" w:fill="EEF3F9"/>
          </w:tcPr>
          <w:p>
            <w:pPr>
              <w:jc w:val="center"/>
            </w:pPr>
            <w:r/>
            <w:r>
              <w:rPr>
                <w:sz w:val="17"/>
              </w:rPr>
              <w:t>0.10</w:t>
            </w:r>
          </w:p>
        </w:tc>
        <w:tc>
          <w:tcPr>
            <w:tcW w:type="dxa" w:w="1247"/>
            <w:shd w:val="clear" w:color="auto" w:fill="EEF3F9"/>
          </w:tcPr>
          <w:p>
            <w:pPr>
              <w:jc w:val="center"/>
            </w:pPr>
            <w:r/>
            <w:r>
              <w:rPr>
                <w:sz w:val="17"/>
              </w:rPr>
              <w:t>0.9997</w:t>
            </w:r>
          </w:p>
        </w:tc>
        <w:tc>
          <w:tcPr>
            <w:tcW w:type="dxa" w:w="1134"/>
            <w:shd w:val="clear" w:color="auto" w:fill="EEF3F9"/>
          </w:tcPr>
          <w:p>
            <w:pPr>
              <w:jc w:val="center"/>
            </w:pPr>
            <w:r/>
            <w:r>
              <w:rPr>
                <w:sz w:val="17"/>
              </w:rPr>
              <w:t>0.24</w:t>
            </w:r>
          </w:p>
        </w:tc>
        <w:tc>
          <w:tcPr>
            <w:tcW w:type="dxa" w:w="1020"/>
            <w:shd w:val="clear" w:color="auto" w:fill="EEF3F9"/>
          </w:tcPr>
          <w:p>
            <w:pPr>
              <w:jc w:val="center"/>
            </w:pPr>
            <w:r/>
            <w:r>
              <w:rPr>
                <w:sz w:val="17"/>
              </w:rPr>
              <w:t>0.82</w:t>
            </w:r>
          </w:p>
        </w:tc>
        <w:tc>
          <w:tcPr>
            <w:tcW w:type="dxa" w:w="1077"/>
            <w:shd w:val="clear" w:color="auto" w:fill="EEF3F9"/>
          </w:tcPr>
          <w:p>
            <w:pPr>
              <w:jc w:val="center"/>
            </w:pPr>
            <w:r/>
            <w:r>
              <w:rPr>
                <w:sz w:val="17"/>
              </w:rPr>
              <w:t>0.826</w:t>
            </w:r>
          </w:p>
        </w:tc>
      </w:tr>
    </w:tbl>
    <w:p>
      <w:pPr>
        <w:spacing w:after="40"/>
      </w:pPr>
    </w:p>
    <w:p>
      <w:pPr>
        <w:spacing w:after="200"/>
        <w:jc w:val="center"/>
      </w:pPr>
      <w:r>
        <w:rPr>
          <w:i/>
          <w:color w:val="555555"/>
          <w:sz w:val="17"/>
        </w:rPr>
        <w:t>Table 1: Chosen hyperparameters (seed 0) and resulting mean training / test return, with the Policy-Iteration reference.</w:t>
      </w:r>
    </w:p>
    <w:p>
      <w:pPr>
        <w:jc w:val="both"/>
      </w:pPr>
      <w:r>
        <w:t>Figures 1–6 show the training and test reward, the learned policy (white arrows) and the value function for each case.</w:t>
      </w:r>
    </w:p>
    <w:p>
      <w:pPr>
        <w:jc w:val="center"/>
      </w:pPr>
      <w:r>
        <w:drawing>
          <wp:inline>
            <wp:extent cx="5577840" cy="4210288"/>
            <wp:docPr id="1" name="Picture 1"/>
            <wp:cNvGraphicFramePr>
              <a:graphicFrameLocks noChangeAspect="1"/>
            </wp:cNvGraphicFramePr>
            <a:graphic>
              <a:graphicData uri="http://schemas.openxmlformats.org/drawingml/2006/picture">
                <pic:pic>
                  <pic:nvPicPr>
                    <pic:cNvPr id="0" name="frozenlake_SARSA_gamma_0.95.png"/>
                    <pic:cNvPicPr/>
                  </pic:nvPicPr>
                  <pic:blipFill>
                    <a:blip r:embed="rId9"/>
                    <a:stretch>
                      <a:fillRect/>
                    </a:stretch>
                  </pic:blipFill>
                  <pic:spPr>
                    <a:xfrm>
                      <a:off x="0" y="0"/>
                      <a:ext cx="5577840" cy="4210288"/>
                    </a:xfrm>
                    <a:prstGeom prst="rect"/>
                  </pic:spPr>
                </pic:pic>
              </a:graphicData>
            </a:graphic>
          </wp:inline>
        </w:drawing>
      </w:r>
    </w:p>
    <w:p>
      <w:pPr>
        <w:spacing w:after="200"/>
        <w:jc w:val="center"/>
      </w:pPr>
      <w:r>
        <w:rPr>
          <w:i/>
          <w:color w:val="555555"/>
          <w:sz w:val="17"/>
        </w:rPr>
        <w:t>Figure 1: SARSA, γ = 0.95.</w:t>
      </w:r>
    </w:p>
    <w:p>
      <w:pPr>
        <w:jc w:val="center"/>
      </w:pPr>
      <w:r>
        <w:drawing>
          <wp:inline>
            <wp:extent cx="5577840" cy="4210288"/>
            <wp:docPr id="2" name="Picture 2"/>
            <wp:cNvGraphicFramePr>
              <a:graphicFrameLocks noChangeAspect="1"/>
            </wp:cNvGraphicFramePr>
            <a:graphic>
              <a:graphicData uri="http://schemas.openxmlformats.org/drawingml/2006/picture">
                <pic:pic>
                  <pic:nvPicPr>
                    <pic:cNvPr id="0" name="frozenlake_Q-Learning_gamma_0.95.png"/>
                    <pic:cNvPicPr/>
                  </pic:nvPicPr>
                  <pic:blipFill>
                    <a:blip r:embed="rId10"/>
                    <a:stretch>
                      <a:fillRect/>
                    </a:stretch>
                  </pic:blipFill>
                  <pic:spPr>
                    <a:xfrm>
                      <a:off x="0" y="0"/>
                      <a:ext cx="5577840" cy="4210288"/>
                    </a:xfrm>
                    <a:prstGeom prst="rect"/>
                  </pic:spPr>
                </pic:pic>
              </a:graphicData>
            </a:graphic>
          </wp:inline>
        </w:drawing>
      </w:r>
    </w:p>
    <w:p>
      <w:pPr>
        <w:spacing w:after="200"/>
        <w:jc w:val="center"/>
      </w:pPr>
      <w:r>
        <w:rPr>
          <w:i/>
          <w:color w:val="555555"/>
          <w:sz w:val="17"/>
        </w:rPr>
        <w:t>Figure 2: Q-Learning, γ = 0.95.</w:t>
      </w:r>
    </w:p>
    <w:p>
      <w:pPr>
        <w:jc w:val="center"/>
      </w:pPr>
      <w:r>
        <w:drawing>
          <wp:inline>
            <wp:extent cx="5577840" cy="4210288"/>
            <wp:docPr id="3" name="Picture 3"/>
            <wp:cNvGraphicFramePr>
              <a:graphicFrameLocks noChangeAspect="1"/>
            </wp:cNvGraphicFramePr>
            <a:graphic>
              <a:graphicData uri="http://schemas.openxmlformats.org/drawingml/2006/picture">
                <pic:pic>
                  <pic:nvPicPr>
                    <pic:cNvPr id="0" name="frozenlake_Expected_SARSA_gamma_0.95.png"/>
                    <pic:cNvPicPr/>
                  </pic:nvPicPr>
                  <pic:blipFill>
                    <a:blip r:embed="rId11"/>
                    <a:stretch>
                      <a:fillRect/>
                    </a:stretch>
                  </pic:blipFill>
                  <pic:spPr>
                    <a:xfrm>
                      <a:off x="0" y="0"/>
                      <a:ext cx="5577840" cy="4210288"/>
                    </a:xfrm>
                    <a:prstGeom prst="rect"/>
                  </pic:spPr>
                </pic:pic>
              </a:graphicData>
            </a:graphic>
          </wp:inline>
        </w:drawing>
      </w:r>
    </w:p>
    <w:p>
      <w:pPr>
        <w:spacing w:after="200"/>
        <w:jc w:val="center"/>
      </w:pPr>
      <w:r>
        <w:rPr>
          <w:i/>
          <w:color w:val="555555"/>
          <w:sz w:val="17"/>
        </w:rPr>
        <w:t>Figure 3: Expected SARSA, γ = 0.95.</w:t>
      </w:r>
    </w:p>
    <w:p>
      <w:pPr>
        <w:jc w:val="center"/>
      </w:pPr>
      <w:r>
        <w:drawing>
          <wp:inline>
            <wp:extent cx="5577840" cy="4210288"/>
            <wp:docPr id="4" name="Picture 4"/>
            <wp:cNvGraphicFramePr>
              <a:graphicFrameLocks noChangeAspect="1"/>
            </wp:cNvGraphicFramePr>
            <a:graphic>
              <a:graphicData uri="http://schemas.openxmlformats.org/drawingml/2006/picture">
                <pic:pic>
                  <pic:nvPicPr>
                    <pic:cNvPr id="0" name="frozenlake_SARSA_gamma_1.0.png"/>
                    <pic:cNvPicPr/>
                  </pic:nvPicPr>
                  <pic:blipFill>
                    <a:blip r:embed="rId12"/>
                    <a:stretch>
                      <a:fillRect/>
                    </a:stretch>
                  </pic:blipFill>
                  <pic:spPr>
                    <a:xfrm>
                      <a:off x="0" y="0"/>
                      <a:ext cx="5577840" cy="4210288"/>
                    </a:xfrm>
                    <a:prstGeom prst="rect"/>
                  </pic:spPr>
                </pic:pic>
              </a:graphicData>
            </a:graphic>
          </wp:inline>
        </w:drawing>
      </w:r>
    </w:p>
    <w:p>
      <w:pPr>
        <w:spacing w:after="200"/>
        <w:jc w:val="center"/>
      </w:pPr>
      <w:r>
        <w:rPr>
          <w:i/>
          <w:color w:val="555555"/>
          <w:sz w:val="17"/>
        </w:rPr>
        <w:t>Figure 4: SARSA, γ = 1.0.</w:t>
      </w:r>
    </w:p>
    <w:p>
      <w:pPr>
        <w:jc w:val="center"/>
      </w:pPr>
      <w:r>
        <w:drawing>
          <wp:inline>
            <wp:extent cx="5577840" cy="4210288"/>
            <wp:docPr id="5" name="Picture 5"/>
            <wp:cNvGraphicFramePr>
              <a:graphicFrameLocks noChangeAspect="1"/>
            </wp:cNvGraphicFramePr>
            <a:graphic>
              <a:graphicData uri="http://schemas.openxmlformats.org/drawingml/2006/picture">
                <pic:pic>
                  <pic:nvPicPr>
                    <pic:cNvPr id="0" name="frozenlake_Q-Learning_gamma_1.0.png"/>
                    <pic:cNvPicPr/>
                  </pic:nvPicPr>
                  <pic:blipFill>
                    <a:blip r:embed="rId13"/>
                    <a:stretch>
                      <a:fillRect/>
                    </a:stretch>
                  </pic:blipFill>
                  <pic:spPr>
                    <a:xfrm>
                      <a:off x="0" y="0"/>
                      <a:ext cx="5577840" cy="4210288"/>
                    </a:xfrm>
                    <a:prstGeom prst="rect"/>
                  </pic:spPr>
                </pic:pic>
              </a:graphicData>
            </a:graphic>
          </wp:inline>
        </w:drawing>
      </w:r>
    </w:p>
    <w:p>
      <w:pPr>
        <w:spacing w:after="200"/>
        <w:jc w:val="center"/>
      </w:pPr>
      <w:r>
        <w:rPr>
          <w:i/>
          <w:color w:val="555555"/>
          <w:sz w:val="17"/>
        </w:rPr>
        <w:t>Figure 5: Q-Learning, γ = 1.0.</w:t>
      </w:r>
    </w:p>
    <w:p>
      <w:pPr>
        <w:jc w:val="center"/>
      </w:pPr>
      <w:r>
        <w:drawing>
          <wp:inline>
            <wp:extent cx="5577840" cy="4210288"/>
            <wp:docPr id="6" name="Picture 6"/>
            <wp:cNvGraphicFramePr>
              <a:graphicFrameLocks noChangeAspect="1"/>
            </wp:cNvGraphicFramePr>
            <a:graphic>
              <a:graphicData uri="http://schemas.openxmlformats.org/drawingml/2006/picture">
                <pic:pic>
                  <pic:nvPicPr>
                    <pic:cNvPr id="0" name="frozenlake_Expected_SARSA_gamma_1.0.png"/>
                    <pic:cNvPicPr/>
                  </pic:nvPicPr>
                  <pic:blipFill>
                    <a:blip r:embed="rId14"/>
                    <a:stretch>
                      <a:fillRect/>
                    </a:stretch>
                  </pic:blipFill>
                  <pic:spPr>
                    <a:xfrm>
                      <a:off x="0" y="0"/>
                      <a:ext cx="5577840" cy="4210288"/>
                    </a:xfrm>
                    <a:prstGeom prst="rect"/>
                  </pic:spPr>
                </pic:pic>
              </a:graphicData>
            </a:graphic>
          </wp:inline>
        </w:drawing>
      </w:r>
    </w:p>
    <w:p>
      <w:pPr>
        <w:spacing w:after="200"/>
        <w:jc w:val="center"/>
      </w:pPr>
      <w:r>
        <w:rPr>
          <w:i/>
          <w:color w:val="555555"/>
          <w:sz w:val="17"/>
        </w:rPr>
        <w:t>Figure 6: Expected SARSA, γ = 1.0.</w:t>
      </w:r>
    </w:p>
    <w:p>
      <w:pPr>
        <w:pStyle w:val="Heading2"/>
      </w:pPr>
      <w:r>
        <w:t>1.3 Comparison with Policy Iteration</w:t>
      </w:r>
    </w:p>
    <w:p>
      <w:pPr>
        <w:jc w:val="both"/>
      </w:pPr>
      <w:r>
        <w:t>All three methods find essentially the same greedy policy as Policy Iteration and reach a similar success rate. The typical slippery trick is visible: next to a hole the policy points away from it, often into a wall, so a random sideways slip cannot fall in. The value functions agree well at γ = 0.95. At γ = 1.0 they differ (Table 2): Q-Learning still matches v* because it learns greedy values off-policy, while SARSA and Expected SARSA underestimate the states far from the goal. They are on-policy and evaluate the exploring ε-greedy policy, and without discounting the value spreads only slowly from the single goal reward, so far-away cells stay too low after 10 000 episodes.</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256"/>
        <w:gridCol w:w="2256"/>
        <w:gridCol w:w="2256"/>
        <w:gridCol w:w="2256"/>
      </w:tblGrid>
      <w:tr>
        <w:tc>
          <w:tcPr>
            <w:tcW w:type="dxa" w:w="2608"/>
            <w:shd w:val="clear" w:color="auto" w:fill="1D4E79"/>
          </w:tcPr>
          <w:p>
            <w:pPr>
              <w:jc w:val="center"/>
            </w:pPr>
            <w:r/>
            <w:r>
              <w:rPr>
                <w:b/>
                <w:color w:val="FFFFFF"/>
                <w:sz w:val="17"/>
              </w:rPr>
              <w:t>v(s) at γ = 1.0</w:t>
            </w:r>
          </w:p>
        </w:tc>
        <w:tc>
          <w:tcPr>
            <w:tcW w:type="dxa" w:w="1814"/>
            <w:shd w:val="clear" w:color="auto" w:fill="1D4E79"/>
          </w:tcPr>
          <w:p>
            <w:pPr>
              <w:jc w:val="center"/>
            </w:pPr>
            <w:r/>
            <w:r>
              <w:rPr>
                <w:b/>
                <w:color w:val="FFFFFF"/>
                <w:sz w:val="17"/>
              </w:rPr>
              <w:t>start (0,0)</w:t>
            </w:r>
          </w:p>
        </w:tc>
        <w:tc>
          <w:tcPr>
            <w:tcW w:type="dxa" w:w="1928"/>
            <w:shd w:val="clear" w:color="auto" w:fill="1D4E79"/>
          </w:tcPr>
          <w:p>
            <w:pPr>
              <w:jc w:val="center"/>
            </w:pPr>
            <w:r/>
            <w:r>
              <w:rPr>
                <w:b/>
                <w:color w:val="FFFFFF"/>
                <w:sz w:val="17"/>
              </w:rPr>
              <w:t>left-col (2,0)</w:t>
            </w:r>
          </w:p>
        </w:tc>
        <w:tc>
          <w:tcPr>
            <w:tcW w:type="dxa" w:w="2041"/>
            <w:shd w:val="clear" w:color="auto" w:fill="1D4E79"/>
          </w:tcPr>
          <w:p>
            <w:pPr>
              <w:jc w:val="center"/>
            </w:pPr>
            <w:r/>
            <w:r>
              <w:rPr>
                <w:b/>
                <w:color w:val="FFFFFF"/>
                <w:sz w:val="17"/>
              </w:rPr>
              <w:t>left-of-goal (3,2)</w:t>
            </w:r>
          </w:p>
        </w:tc>
      </w:tr>
      <w:tr>
        <w:tc>
          <w:tcPr>
            <w:tcW w:type="dxa" w:w="2608"/>
          </w:tcPr>
          <w:p>
            <w:r/>
            <w:r>
              <w:rPr>
                <w:sz w:val="17"/>
              </w:rPr>
              <w:t>Policy Iteration (v*)</w:t>
            </w:r>
          </w:p>
        </w:tc>
        <w:tc>
          <w:tcPr>
            <w:tcW w:type="dxa" w:w="1814"/>
          </w:tcPr>
          <w:p>
            <w:pPr>
              <w:jc w:val="center"/>
            </w:pPr>
            <w:r/>
            <w:r>
              <w:rPr>
                <w:sz w:val="17"/>
              </w:rPr>
              <w:t>0.824</w:t>
            </w:r>
          </w:p>
        </w:tc>
        <w:tc>
          <w:tcPr>
            <w:tcW w:type="dxa" w:w="1928"/>
          </w:tcPr>
          <w:p>
            <w:pPr>
              <w:jc w:val="center"/>
            </w:pPr>
            <w:r/>
            <w:r>
              <w:rPr>
                <w:sz w:val="17"/>
              </w:rPr>
              <w:t>0.824</w:t>
            </w:r>
          </w:p>
        </w:tc>
        <w:tc>
          <w:tcPr>
            <w:tcW w:type="dxa" w:w="2041"/>
          </w:tcPr>
          <w:p>
            <w:pPr>
              <w:jc w:val="center"/>
            </w:pPr>
            <w:r/>
            <w:r>
              <w:rPr>
                <w:sz w:val="17"/>
              </w:rPr>
              <w:t>0.941</w:t>
            </w:r>
          </w:p>
        </w:tc>
      </w:tr>
      <w:tr>
        <w:tc>
          <w:tcPr>
            <w:tcW w:type="dxa" w:w="2608"/>
            <w:shd w:val="clear" w:color="auto" w:fill="EEF3F9"/>
          </w:tcPr>
          <w:p>
            <w:r/>
            <w:r>
              <w:rPr>
                <w:sz w:val="17"/>
              </w:rPr>
              <w:t>Q-Learning</w:t>
            </w:r>
          </w:p>
        </w:tc>
        <w:tc>
          <w:tcPr>
            <w:tcW w:type="dxa" w:w="1814"/>
            <w:shd w:val="clear" w:color="auto" w:fill="EEF3F9"/>
          </w:tcPr>
          <w:p>
            <w:pPr>
              <w:jc w:val="center"/>
            </w:pPr>
            <w:r/>
            <w:r>
              <w:rPr>
                <w:sz w:val="17"/>
              </w:rPr>
              <w:t>0.797</w:t>
            </w:r>
          </w:p>
        </w:tc>
        <w:tc>
          <w:tcPr>
            <w:tcW w:type="dxa" w:w="1928"/>
            <w:shd w:val="clear" w:color="auto" w:fill="EEF3F9"/>
          </w:tcPr>
          <w:p>
            <w:pPr>
              <w:jc w:val="center"/>
            </w:pPr>
            <w:r/>
            <w:r>
              <w:rPr>
                <w:sz w:val="17"/>
              </w:rPr>
              <w:t>0.788</w:t>
            </w:r>
          </w:p>
        </w:tc>
        <w:tc>
          <w:tcPr>
            <w:tcW w:type="dxa" w:w="2041"/>
            <w:shd w:val="clear" w:color="auto" w:fill="EEF3F9"/>
          </w:tcPr>
          <w:p>
            <w:pPr>
              <w:jc w:val="center"/>
            </w:pPr>
            <w:r/>
            <w:r>
              <w:rPr>
                <w:sz w:val="17"/>
              </w:rPr>
              <w:t>0.937</w:t>
            </w:r>
          </w:p>
        </w:tc>
      </w:tr>
      <w:tr>
        <w:tc>
          <w:tcPr>
            <w:tcW w:type="dxa" w:w="2608"/>
          </w:tcPr>
          <w:p>
            <w:r/>
            <w:r>
              <w:rPr>
                <w:sz w:val="17"/>
              </w:rPr>
              <w:t>SARSA</w:t>
            </w:r>
          </w:p>
        </w:tc>
        <w:tc>
          <w:tcPr>
            <w:tcW w:type="dxa" w:w="1814"/>
          </w:tcPr>
          <w:p>
            <w:pPr>
              <w:jc w:val="center"/>
            </w:pPr>
            <w:r/>
            <w:r>
              <w:rPr>
                <w:sz w:val="17"/>
              </w:rPr>
              <w:t>0.504</w:t>
            </w:r>
          </w:p>
        </w:tc>
        <w:tc>
          <w:tcPr>
            <w:tcW w:type="dxa" w:w="1928"/>
          </w:tcPr>
          <w:p>
            <w:pPr>
              <w:jc w:val="center"/>
            </w:pPr>
            <w:r/>
            <w:r>
              <w:rPr>
                <w:sz w:val="17"/>
              </w:rPr>
              <w:t>0.574</w:t>
            </w:r>
          </w:p>
        </w:tc>
        <w:tc>
          <w:tcPr>
            <w:tcW w:type="dxa" w:w="2041"/>
          </w:tcPr>
          <w:p>
            <w:pPr>
              <w:jc w:val="center"/>
            </w:pPr>
            <w:r/>
            <w:r>
              <w:rPr>
                <w:sz w:val="17"/>
              </w:rPr>
              <w:t>0.900</w:t>
            </w:r>
          </w:p>
        </w:tc>
      </w:tr>
      <w:tr>
        <w:tc>
          <w:tcPr>
            <w:tcW w:type="dxa" w:w="2608"/>
            <w:shd w:val="clear" w:color="auto" w:fill="EEF3F9"/>
          </w:tcPr>
          <w:p>
            <w:r/>
            <w:r>
              <w:rPr>
                <w:sz w:val="17"/>
              </w:rPr>
              <w:t>Expected SARSA</w:t>
            </w:r>
          </w:p>
        </w:tc>
        <w:tc>
          <w:tcPr>
            <w:tcW w:type="dxa" w:w="1814"/>
            <w:shd w:val="clear" w:color="auto" w:fill="EEF3F9"/>
          </w:tcPr>
          <w:p>
            <w:pPr>
              <w:jc w:val="center"/>
            </w:pPr>
            <w:r/>
            <w:r>
              <w:rPr>
                <w:sz w:val="17"/>
              </w:rPr>
              <w:t>0.514</w:t>
            </w:r>
          </w:p>
        </w:tc>
        <w:tc>
          <w:tcPr>
            <w:tcW w:type="dxa" w:w="1928"/>
            <w:shd w:val="clear" w:color="auto" w:fill="EEF3F9"/>
          </w:tcPr>
          <w:p>
            <w:pPr>
              <w:jc w:val="center"/>
            </w:pPr>
            <w:r/>
            <w:r>
              <w:rPr>
                <w:sz w:val="17"/>
              </w:rPr>
              <w:t>0.540</w:t>
            </w:r>
          </w:p>
        </w:tc>
        <w:tc>
          <w:tcPr>
            <w:tcW w:type="dxa" w:w="2041"/>
            <w:shd w:val="clear" w:color="auto" w:fill="EEF3F9"/>
          </w:tcPr>
          <w:p>
            <w:pPr>
              <w:jc w:val="center"/>
            </w:pPr>
            <w:r/>
            <w:r>
              <w:rPr>
                <w:sz w:val="17"/>
              </w:rPr>
              <w:t>0.824</w:t>
            </w:r>
          </w:p>
        </w:tc>
      </w:tr>
    </w:tbl>
    <w:p>
      <w:pPr>
        <w:spacing w:after="40"/>
      </w:pPr>
    </w:p>
    <w:p>
      <w:pPr>
        <w:spacing w:after="200"/>
        <w:jc w:val="center"/>
      </w:pPr>
      <w:r>
        <w:rPr>
          <w:i/>
          <w:color w:val="555555"/>
          <w:sz w:val="17"/>
        </w:rPr>
        <w:t>Table 2: Value of three cells at γ = 1.0. Near the goal all agree; far from it only Q-Learning stays close to v*.</w:t>
      </w:r>
    </w:p>
    <w:p>
      <w:pPr>
        <w:pStyle w:val="Heading1"/>
      </w:pPr>
      <w:r>
        <w:t>2 Deep Q-Learning for Atari Breakout</w:t>
      </w:r>
    </w:p>
    <w:p>
      <w:pPr>
        <w:jc w:val="both"/>
      </w:pPr>
      <w:r>
        <w:t>Here I train a DQN (Mnih et al., 2015) on Atari Breakout with a convolutional network, a fixed target network and an experience-replay buffer. Frames are turned to grayscale, resized to 84×84 and the last 4 are stacked, so a state is a 4×84×84 tensor; there are 4 actions.</w:t>
      </w:r>
    </w:p>
    <w:p>
      <w:pPr>
        <w:pStyle w:val="Heading2"/>
      </w:pPr>
      <w:r>
        <w:t>2.1 Network and fixed target network</w:t>
      </w:r>
    </w:p>
    <w:p>
      <w:pPr>
        <w:jc w:val="both"/>
      </w:pPr>
      <w:r>
        <w:t>The online network has three convolutional layers (32 filters 8×8 stride 4, 64 filters 4×4 stride 2, 64 filters 3×3 stride 1, each with ReLU), then a 512-unit dense layer and a final layer with one output per action (about 1.7M parameters). A second network with the same shape is the target network. Its weights are frozen and only copied from the online network every sync_target frames. The target value is y = r + γ · max_a′ Q_target(s′,a′), and I minimise the MSE to Q_online(s,a) with Adam. The target network keeps this regression target fixed for a while instead of letting it move on every update, which stops the training from oscillating. The burn_in_phase is the number of frames at the start where the agent only fills the buffer (ε = 1, no updates, no ε-decay), so the first minibatches are not drawn from an almost empty, highly correlated buffer.</w:t>
      </w:r>
    </w:p>
    <w:p>
      <w:pPr>
        <w:pStyle w:val="Heading2"/>
      </w:pPr>
      <w:r>
        <w:t>2.2 Experience replay memory</w:t>
      </w:r>
    </w:p>
    <w:p>
      <w:pPr>
        <w:jc w:val="both"/>
      </w:pPr>
      <w:r>
        <w:t>The buffer is a deque of past transitions and sample() takes a uniform random minibatch. The reason for it is that SGD assumes the samples are i.i.d. (independent and identically distributed), which is violated if you learn from transitions in the order they happen: consecutive transitions are highly correlated, and the data distribution keeps changing as the policy changes (non-stationary). Sampling randomly from a large buffer mixes many episodes and policies, so the minibatches are roughly independent again, and every transition can be reused several times.</w:t>
      </w:r>
    </w:p>
    <w:p>
      <w:pPr>
        <w:pStyle w:val="Heading2"/>
      </w:pPr>
      <w:r>
        <w:t>2.3 Results</w:t>
      </w:r>
    </w:p>
    <w:p>
      <w:pPr>
        <w:jc w:val="both"/>
      </w:pPr>
      <w:r>
        <w:t>I trained on an Apple-M2 laptop (8 GB, MPS backend), which is far too little for Breakout (the original DQN uses about 50M frames), so this is only a short demonstration. In about 40 minutes the agent ran 1576 episodes (144,217 steps) and ε reached 0.1. The mean episode reward went up from 2 to 10 (best episode 21), so it clearly learns to play better than random, which scores about 2, and the loss stays stable after the burn-in (Figure 7). With a GPU and a larger buffer the same code would reach higher scores.</w:t>
      </w:r>
    </w:p>
    <w:p>
      <w:pPr>
        <w:jc w:val="center"/>
      </w:pPr>
      <w:r>
        <w:drawing>
          <wp:inline>
            <wp:extent cx="5760720" cy="1882881"/>
            <wp:docPr id="7" name="Picture 7"/>
            <wp:cNvGraphicFramePr>
              <a:graphicFrameLocks noChangeAspect="1"/>
            </wp:cNvGraphicFramePr>
            <a:graphic>
              <a:graphicData uri="http://schemas.openxmlformats.org/drawingml/2006/picture">
                <pic:pic>
                  <pic:nvPicPr>
                    <pic:cNvPr id="0" name="dqn_train_curves.png"/>
                    <pic:cNvPicPr/>
                  </pic:nvPicPr>
                  <pic:blipFill>
                    <a:blip r:embed="rId15"/>
                    <a:stretch>
                      <a:fillRect/>
                    </a:stretch>
                  </pic:blipFill>
                  <pic:spPr>
                    <a:xfrm>
                      <a:off x="0" y="0"/>
                      <a:ext cx="5760720" cy="1882881"/>
                    </a:xfrm>
                    <a:prstGeom prst="rect"/>
                  </pic:spPr>
                </pic:pic>
              </a:graphicData>
            </a:graphic>
          </wp:inline>
        </w:drawing>
      </w:r>
    </w:p>
    <w:p>
      <w:pPr>
        <w:spacing w:after="200"/>
        <w:jc w:val="center"/>
      </w:pPr>
      <w:r>
        <w:rPr>
          <w:i/>
          <w:color w:val="555555"/>
          <w:sz w:val="17"/>
        </w:rPr>
        <w:t>Figure 7: DQN on Breakout — reward per episode (left) and TD loss (right), each with a running mean.</w:t>
      </w:r>
    </w:p>
    <w:p>
      <w:pPr>
        <w:pStyle w:val="Heading1"/>
      </w:pPr>
      <w:r>
        <w:t>3 Use of LLMs</w:t>
      </w:r>
    </w:p>
    <w:p>
      <w:pPr>
        <w:jc w:val="both"/>
      </w:pPr>
      <w:r>
        <w:t>I used Claude (Anthropic) through the Claude Code assistant. It helped me write the TD updates and the ε-greedy policy, run and interpret the hyperparameter search (including why Q-Learning is unstable at γ = 1.0), fill in the DQN skeleton (network, target sync, replay sampling, optimiser) and adapt the code to my 8 GB laptop. It also noticed that the agent was being created without the run_as_ddqn argument it expects, and that the per-episode loss divides by the step counter. The main limitations were that the given skeleton needed those fixes to run, and that I could not train Breakout to a high score on my hardware, so the DQN part stays a short demonstration. I went through the code and the reasoning myself and understand how it works.</w:t>
      </w:r>
    </w:p>
    <w:sectPr>
      <w:footerReference r:id="rId8"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3">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Inter Medium" w:cs="Inter Medium" w:eastAsia="Inter Medium" w:hAnsi="Inter Medium"/>
      <w:i w:val="0"/>
      <w:iCs w:val="0"/>
      <w:sz w:val="32"/>
      <w:szCs w:val="32"/>
    </w:rPr>
  </w:style>
  <w:style w:type="paragraph" w:styleId="Heading2">
    <w:name w:val="heading 2"/>
    <w:basedOn w:val="Normal"/>
    <w:next w:val="Normal"/>
    <w:pPr>
      <w:keepNext w:val="1"/>
      <w:keepLines w:val="1"/>
      <w:spacing w:after="80" w:before="360" w:lineRule="auto"/>
    </w:pPr>
    <w:rPr>
      <w:rFonts w:ascii="Inter Medium" w:cs="Inter Medium" w:eastAsia="Inter Medium" w:hAnsi="Inter Medium"/>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i w:val="0"/>
      <w:iCs w:val="0"/>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i w:val="0"/>
      <w:iCs w:val="0"/>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i w:val="1"/>
      <w:iCs w:val="1"/>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i w:val="1"/>
      <w:iCs w:val="1"/>
      <w:sz w:val="22"/>
      <w:szCs w:val="22"/>
    </w:rPr>
  </w:style>
  <w:style w:type="paragraph" w:styleId="Title">
    <w:name w:val="Title"/>
    <w:basedOn w:val="Normal"/>
    <w:next w:val="Normal"/>
    <w:pPr>
      <w:keepNext w:val="1"/>
      <w:keepLines w:val="1"/>
      <w:pageBreakBefore w:val="0"/>
      <w:spacing w:after="120" w:before="480" w:lineRule="auto"/>
    </w:pPr>
    <w:rPr>
      <w:rFonts w:ascii="Inter Medium" w:cs="Inter Medium" w:eastAsia="Inter Medium" w:hAnsi="Inter Medium"/>
      <w:i w:val="0"/>
      <w:iCs w:val="0"/>
      <w:sz w:val="48"/>
      <w:szCs w:val="48"/>
    </w:rPr>
  </w:style>
  <w:style w:type="paragraph" w:styleId="Subtitle">
    <w:name w:val="Subtitle"/>
    <w:basedOn w:val="Normal"/>
    <w:next w:val="Normal"/>
    <w:pPr>
      <w:keepNext w:val="1"/>
      <w:keepLines w:val="1"/>
      <w:spacing w:after="120" w:before="480" w:lineRule="auto"/>
    </w:pPr>
    <w:rPr>
      <w:rFonts w:ascii="Inter Medium" w:cs="Inter Medium" w:eastAsia="Inter Medium" w:hAnsi="Inter Medium"/>
      <w:sz w:val="32"/>
      <w:szCs w:val="32"/>
    </w:rPr>
  </w:style>
  <w:style w:type="table" w:styleId="Table1">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