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9CB50" w14:textId="77777777" w:rsidR="001F4011" w:rsidRDefault="001F4011" w:rsidP="001F4011">
      <w:pPr>
        <w:pStyle w:val="Title"/>
      </w:pPr>
      <w:proofErr w:type="spellStart"/>
      <w:r>
        <w:t>Studentsourcing</w:t>
      </w:r>
      <w:proofErr w:type="spellEnd"/>
      <w:r>
        <w:t xml:space="preserve"> - aggregating and re-using data from a practical cell biology </w:t>
      </w:r>
      <w:proofErr w:type="gramStart"/>
      <w:r>
        <w:t>course</w:t>
      </w:r>
      <w:proofErr w:type="gramEnd"/>
    </w:p>
    <w:p w14:paraId="5639874A" w14:textId="77777777" w:rsidR="001F4011" w:rsidRPr="001F4011" w:rsidRDefault="001F4011" w:rsidP="001F4011">
      <w:pPr>
        <w:pStyle w:val="AbstractTitle"/>
        <w:rPr>
          <w:b w:val="0"/>
          <w:color w:val="auto"/>
          <w:sz w:val="24"/>
          <w:szCs w:val="24"/>
          <w:lang w:val="en-GB"/>
        </w:rPr>
      </w:pPr>
      <w:r w:rsidRPr="001F4011">
        <w:rPr>
          <w:b w:val="0"/>
          <w:color w:val="auto"/>
          <w:sz w:val="24"/>
          <w:szCs w:val="24"/>
          <w:lang w:val="en-GB"/>
        </w:rPr>
        <w:t xml:space="preserve">Joachim </w:t>
      </w:r>
      <w:proofErr w:type="spellStart"/>
      <w:r w:rsidRPr="001F4011">
        <w:rPr>
          <w:b w:val="0"/>
          <w:color w:val="auto"/>
          <w:sz w:val="24"/>
          <w:szCs w:val="24"/>
          <w:lang w:val="en-GB"/>
        </w:rPr>
        <w:t>Goedhart</w:t>
      </w:r>
      <w:proofErr w:type="spellEnd"/>
    </w:p>
    <w:p w14:paraId="780809CE" w14:textId="77777777" w:rsidR="001F4011" w:rsidRPr="001F4011" w:rsidRDefault="001F4011" w:rsidP="001F4011">
      <w:pPr>
        <w:pStyle w:val="AbstractTitle"/>
        <w:rPr>
          <w:b w:val="0"/>
          <w:color w:val="auto"/>
          <w:sz w:val="24"/>
          <w:szCs w:val="24"/>
          <w:lang w:val="en-GB"/>
        </w:rPr>
      </w:pPr>
    </w:p>
    <w:p w14:paraId="676D2190" w14:textId="77777777" w:rsidR="001F4011" w:rsidRPr="004A76A8" w:rsidRDefault="001F4011" w:rsidP="001F4011">
      <w:pPr>
        <w:pStyle w:val="AbstractTitle"/>
        <w:rPr>
          <w:b w:val="0"/>
          <w:color w:val="auto"/>
          <w:sz w:val="24"/>
          <w:szCs w:val="24"/>
        </w:rPr>
      </w:pPr>
      <w:r w:rsidRPr="004A76A8">
        <w:rPr>
          <w:b w:val="0"/>
          <w:color w:val="auto"/>
          <w:sz w:val="24"/>
          <w:szCs w:val="24"/>
        </w:rPr>
        <w:t>Swammerdam Institute for Life Sciences, Section of Molecular Cytology, van Leeuwenhoek Centre for Advanced Microscopy, University of Amsterdam, P.O. Box 94215, NL-1090 GE Amsterdam, The Netherlands.</w:t>
      </w:r>
    </w:p>
    <w:p w14:paraId="60AD8992" w14:textId="77777777" w:rsidR="001F4011" w:rsidRPr="004A76A8" w:rsidRDefault="001F4011" w:rsidP="001F4011">
      <w:pPr>
        <w:pStyle w:val="AbstractTitle"/>
        <w:rPr>
          <w:b w:val="0"/>
          <w:color w:val="auto"/>
          <w:sz w:val="24"/>
          <w:szCs w:val="24"/>
        </w:rPr>
      </w:pPr>
      <w:r w:rsidRPr="004A76A8">
        <w:rPr>
          <w:b w:val="0"/>
          <w:color w:val="auto"/>
          <w:sz w:val="24"/>
          <w:szCs w:val="24"/>
        </w:rPr>
        <w:t>Email: j.goedhart@uva.nl | Twitter: @joachimgoedhart | ORCID: 0000-0002-0630-3825</w:t>
      </w:r>
    </w:p>
    <w:p w14:paraId="7C839455" w14:textId="77777777" w:rsidR="001F4011" w:rsidRDefault="001F4011" w:rsidP="001F4011">
      <w:pPr>
        <w:pStyle w:val="AbstractTitle"/>
        <w:rPr>
          <w:b w:val="0"/>
          <w:color w:val="auto"/>
          <w:sz w:val="24"/>
          <w:szCs w:val="24"/>
        </w:rPr>
      </w:pPr>
    </w:p>
    <w:p w14:paraId="777DEA38" w14:textId="77777777" w:rsidR="001F4011" w:rsidRDefault="001F4011" w:rsidP="001F4011">
      <w:pPr>
        <w:pStyle w:val="Heading2"/>
      </w:pPr>
      <w:r>
        <w:t>Abstract</w:t>
      </w:r>
    </w:p>
    <w:p w14:paraId="5F0E889A" w14:textId="19657DBC" w:rsidR="001F4011" w:rsidRPr="001F4011" w:rsidRDefault="00000000" w:rsidP="001F4011">
      <w:pPr>
        <w:pStyle w:val="Abstract"/>
        <w:spacing w:line="360" w:lineRule="auto"/>
        <w:rPr>
          <w:sz w:val="24"/>
          <w:szCs w:val="24"/>
        </w:rPr>
      </w:pPr>
      <w:r w:rsidRPr="001F4011">
        <w:rPr>
          <w:sz w:val="24"/>
          <w:szCs w:val="24"/>
        </w:rPr>
        <w:t>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w:t>
      </w:r>
    </w:p>
    <w:p w14:paraId="5D78B8B1" w14:textId="77777777" w:rsidR="001F4011" w:rsidRDefault="001F4011" w:rsidP="001F4011">
      <w:pPr>
        <w:pStyle w:val="BodyText"/>
      </w:pPr>
    </w:p>
    <w:p w14:paraId="2E4EA07D" w14:textId="77777777" w:rsidR="001F4011" w:rsidRDefault="001F4011" w:rsidP="001F4011">
      <w:pPr>
        <w:pStyle w:val="BodyText"/>
      </w:pPr>
    </w:p>
    <w:p w14:paraId="68B241A9" w14:textId="77777777" w:rsidR="001F4011" w:rsidRDefault="001F4011" w:rsidP="001F4011">
      <w:pPr>
        <w:pStyle w:val="BodyText"/>
      </w:pPr>
    </w:p>
    <w:p w14:paraId="00371C95" w14:textId="77777777" w:rsidR="001F4011" w:rsidRPr="001F4011" w:rsidRDefault="001F4011" w:rsidP="001F4011">
      <w:pPr>
        <w:pStyle w:val="BodyText"/>
      </w:pPr>
    </w:p>
    <w:p w14:paraId="05EABFF1" w14:textId="77777777" w:rsidR="00053AB8" w:rsidRDefault="00000000">
      <w:pPr>
        <w:pStyle w:val="Heading2"/>
      </w:pPr>
      <w:bookmarkStart w:id="0" w:name="sec-introduction"/>
      <w:r>
        <w:lastRenderedPageBreak/>
        <w:t>Introduction</w:t>
      </w:r>
    </w:p>
    <w:p w14:paraId="19D22711" w14:textId="77777777" w:rsidR="00053AB8" w:rsidRDefault="00000000">
      <w:pPr>
        <w:pStyle w:val="FirstParagraph"/>
      </w:pPr>
      <w:r>
        <w:t xml:space="preserve">Teaching practical skills in a lab course is a crucial part of education in biology, biomedical science, and life sciences (Hofstein and Lunetta 2003; Reid and Shah 2007). In these lab courses data is generated, reported and interpreted, much like </w:t>
      </w:r>
      <w:r>
        <w:rPr>
          <w:i/>
          <w:iCs/>
        </w:rPr>
        <w:t>real</w:t>
      </w:r>
      <w:r>
        <w:t xml:space="preserve"> 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 (Lazic, Clarke-Williams, and Munafò 2018).</w:t>
      </w:r>
    </w:p>
    <w:p w14:paraId="2E317897" w14:textId="77777777" w:rsidR="00053AB8" w:rsidRDefault="00000000">
      <w:pPr>
        <w:pStyle w:val="BodyText"/>
      </w:pPr>
      <w:r>
        <w:t>Microscopy is an essential tool in cell biology. The use of microscopes to observe cells and organisms has changed from a qualitative, descriptive approach, into a quantitative method (Senft et al. 2023; Renz 2013; Wait, Reiche, and Chew 2020; Waters 2009). The development of digital cameras and image analysis software has catalyzed this transition (Carpenter 2007).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 (Schneider, Rasband, and Eliceiri 2012). In a typical year, over one hundred students are enrolled in this course and therefore, a substantial amount of data is generated in the course.</w:t>
      </w:r>
    </w:p>
    <w:p w14:paraId="3AEC0249" w14:textId="77777777" w:rsidR="00053AB8" w:rsidRDefault="00000000">
      <w:pPr>
        <w:pStyle w:val="BodyText"/>
      </w:pPr>
      <w:r>
        <w:t>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p w14:paraId="0B2084A9" w14:textId="77777777" w:rsidR="00053AB8" w:rsidRDefault="00000000">
      <w:pPr>
        <w:pStyle w:val="Heading2"/>
      </w:pPr>
      <w:bookmarkStart w:id="1" w:name="sec-data-methods"/>
      <w:bookmarkEnd w:id="0"/>
      <w:r>
        <w:t>Methods</w:t>
      </w:r>
    </w:p>
    <w:p w14:paraId="798E0E93" w14:textId="77777777" w:rsidR="00053AB8" w:rsidRDefault="00000000">
      <w:pPr>
        <w:pStyle w:val="FirstParagraph"/>
      </w:pPr>
      <w:r>
        <w:t xml:space="preserve">For full reproducibility, this document is written using Quarto (Posit, </w:t>
      </w:r>
      <w:hyperlink r:id="rId7">
        <w:r>
          <w:rPr>
            <w:rStyle w:val="Hyperlink"/>
          </w:rPr>
          <w:t>https://quarto.org/</w:t>
        </w:r>
      </w:hyperlink>
      <w:r>
        <w:t xml:space="preserve">), and the source code of the manuscript and the notebooks, and the data are availble in a repository: </w:t>
      </w:r>
      <w:hyperlink r:id="rId8">
        <w:r>
          <w:rPr>
            <w:rStyle w:val="Hyperlink"/>
          </w:rPr>
          <w:t>https://github.com/JoachimGoedhart/MS-StudentSourcing</w:t>
        </w:r>
      </w:hyperlink>
      <w:r>
        <w:t xml:space="preserve">. A version rendered as HTML is avalaible and it provides easy access to the notebooks as well: </w:t>
      </w:r>
      <w:hyperlink r:id="rId9">
        <w:r>
          <w:rPr>
            <w:rStyle w:val="Hyperlink"/>
          </w:rPr>
          <w:t>https://joachimgoedhart.github.io/MS-StudentSourcing/</w:t>
        </w:r>
      </w:hyperlink>
    </w:p>
    <w:p w14:paraId="59D20CAB" w14:textId="77777777" w:rsidR="00053AB8" w:rsidRDefault="00000000">
      <w:pPr>
        <w:pStyle w:val="Heading3"/>
      </w:pPr>
      <w:bookmarkStart w:id="2" w:name="use-case-1"/>
      <w:r>
        <w:t>Use case 1</w:t>
      </w:r>
    </w:p>
    <w:p w14:paraId="6A3CF248" w14:textId="77777777" w:rsidR="00053AB8" w:rsidRDefault="00000000">
      <w:pPr>
        <w:pStyle w:val="FirstParagraph"/>
      </w:pPr>
      <w:r>
        <w:rPr>
          <w:i/>
          <w:iCs/>
        </w:rPr>
        <w:t>Sample preparation and measurements</w:t>
      </w:r>
    </w:p>
    <w:p w14:paraId="3F279F27" w14:textId="77777777" w:rsidR="00053AB8" w:rsidRDefault="00000000">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w:t>
      </w:r>
      <w:r>
        <w:lastRenderedPageBreak/>
        <w:t>x 22 mm). The sample is used immediately to observe the cells with a Leica microscope, equipped with a Lumenera camera. A 20x or 40x objective is used to observe and image the cells. A separate image of a micrometer (</w:t>
      </w:r>
      <w:hyperlink r:id="rId10">
        <w:r>
          <w:rPr>
            <w:rStyle w:val="Hyperlink"/>
          </w:rPr>
          <w:t>Electron Microscopy Sciences 6804208, Stage Micrometer S8, Horizontal Scale, 1 mm Length</w:t>
        </w:r>
      </w:hyperlink>
      <w:r>
        <w:t>) is acquired at the same magnification. The images are processed in ImageJ/FIJI and the dimensions of the images are calibrated with the micrometer image (</w:t>
      </w:r>
      <w:hyperlink w:anchor="fig-students-side">
        <w:r>
          <w:rPr>
            <w:rStyle w:val="Hyperlink"/>
          </w:rPr>
          <w:t>Figure 1</w:t>
        </w:r>
      </w:hyperlink>
      <w:r>
        <w:t>). The line tool is used to measure the diameter of the cells (the longest axis).</w:t>
      </w:r>
    </w:p>
    <w:p w14:paraId="6E1183B1" w14:textId="77777777" w:rsidR="00053AB8" w:rsidRDefault="00000000">
      <w:pPr>
        <w:pStyle w:val="BodyText"/>
      </w:pPr>
      <w:r>
        <w:rPr>
          <w:i/>
          <w:iCs/>
        </w:rPr>
        <w:t>Data collection</w:t>
      </w:r>
    </w:p>
    <w:p w14:paraId="30F6060D" w14:textId="7760B336" w:rsidR="00053AB8" w:rsidRDefault="00000000">
      <w:pPr>
        <w:pStyle w:val="BodyText"/>
      </w:pPr>
      <w:r>
        <w:t xml:space="preserve">The data of the measurements is collected through a Google Form, an example of which is shown in </w:t>
      </w:r>
      <w:hyperlink w:anchor="fig-students-side">
        <w:r>
          <w:rPr>
            <w:rStyle w:val="Hyperlink"/>
          </w:rPr>
          <w:t>Figure 1</w:t>
        </w:r>
      </w:hyperlink>
      <w:r>
        <w:t xml:space="preserve">. </w:t>
      </w:r>
      <w:r w:rsidR="001C5648">
        <w:t xml:space="preserve">By submitting the form, the students give permission for the anonymous use of the data. </w:t>
      </w:r>
      <w:r>
        <w:t>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w="5000" w:type="pct"/>
        <w:tblLook w:val="0000" w:firstRow="0" w:lastRow="0" w:firstColumn="0" w:lastColumn="0" w:noHBand="0" w:noVBand="0"/>
      </w:tblPr>
      <w:tblGrid>
        <w:gridCol w:w="9360"/>
      </w:tblGrid>
      <w:tr w:rsidR="00053AB8" w14:paraId="670D87A7" w14:textId="77777777">
        <w:tc>
          <w:tcPr>
            <w:tcW w:w="0" w:type="auto"/>
          </w:tcPr>
          <w:p w14:paraId="6952F803" w14:textId="5D3E6555" w:rsidR="00053AB8" w:rsidRDefault="001C5648">
            <w:pPr>
              <w:jc w:val="center"/>
            </w:pPr>
            <w:bookmarkStart w:id="3" w:name="fig-students-side"/>
            <w:r>
              <w:rPr>
                <w:noProof/>
              </w:rPr>
              <w:drawing>
                <wp:inline distT="0" distB="0" distL="0" distR="0" wp14:anchorId="3DC26324" wp14:editId="6562402E">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Students-side.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2F017C62" w14:textId="77777777" w:rsidR="00053AB8" w:rsidRDefault="00000000">
            <w:pPr>
              <w:pStyle w:val="ImageCaption"/>
              <w:spacing w:before="200"/>
            </w:pPr>
            <w:r>
              <w:t>Figure 1: Overview of steps taken by the students to acquire and upload their data. The size of cells is measured by microscopy, the data is processed and recorded in their lab journal and finally, the data are uploaded by a Google form</w:t>
            </w:r>
          </w:p>
        </w:tc>
        <w:bookmarkEnd w:id="3"/>
      </w:tr>
    </w:tbl>
    <w:p w14:paraId="0D19F986" w14:textId="77777777" w:rsidR="00053AB8" w:rsidRDefault="00000000">
      <w:pPr>
        <w:pStyle w:val="BodyText"/>
      </w:pPr>
      <w:r>
        <w:rPr>
          <w:i/>
          <w:iCs/>
        </w:rPr>
        <w:t>Data processing</w:t>
      </w:r>
    </w:p>
    <w:p w14:paraId="388633B7" w14:textId="77777777" w:rsidR="00053AB8" w:rsidRDefault="00000000">
      <w:pPr>
        <w:pStyle w:val="BodyText"/>
      </w:pPr>
      <w:r>
        <w:t xml:space="preserve">The data that is in the Google Sheet can be downloaded and read into R as a CSV. All subsequent processing and data visualisation and presentation in dashboard style is done in R. The code is available on Github: </w:t>
      </w:r>
      <w:hyperlink r:id="rId12">
        <w:r>
          <w:rPr>
            <w:rStyle w:val="Hyperlink"/>
          </w:rPr>
          <w:t>https://github.com/JoachimGoedhart/CellSizeR</w:t>
        </w:r>
      </w:hyperlink>
      <w:r>
        <w:t xml:space="preserve">. The cleaning of the data consists of removing empty cells, changing the column names, listing all individual measurements in a single row, forcing the data into a ‘numeric’ type and </w:t>
      </w:r>
      <w:r>
        <w:lastRenderedPageBreak/>
        <w:t>filtering for sensible values (anything outside the generous range of 0-1000 will be removed). A detailed protocol that explains the processing is available as protocol 10 (Goedhart 2022).</w:t>
      </w:r>
    </w:p>
    <w:p w14:paraId="0F7AC980" w14:textId="77777777" w:rsidR="00053AB8" w:rsidRDefault="00000000">
      <w:pPr>
        <w:pStyle w:val="BodyText"/>
      </w:pPr>
      <w:r>
        <w:rPr>
          <w:i/>
          <w:iCs/>
        </w:rPr>
        <w:t>Data visualisation</w:t>
      </w:r>
    </w:p>
    <w:p w14:paraId="7490FB0E" w14:textId="77777777" w:rsidR="00053AB8" w:rsidRDefault="00000000">
      <w:pPr>
        <w:pStyle w:val="BodyText"/>
      </w:pPr>
      <w:r>
        <w:t xml:space="preserve">A dashboard is composed in R Markdown with the </w:t>
      </w:r>
      <w:r>
        <w:rPr>
          <w:rStyle w:val="VerbatimChar"/>
        </w:rPr>
        <w:t>{flexdashboard}</w:t>
      </w:r>
      <w:r>
        <w:t xml:space="preserve"> package. The code is available here: </w:t>
      </w:r>
      <w:hyperlink r:id="rId13">
        <w:r>
          <w:rPr>
            <w:rStyle w:val="Hyperlink"/>
          </w:rPr>
          <w:t>https://github.com/JoachimGoedhart/CellSizeR</w:t>
        </w:r>
      </w:hyperlink>
      <w:r>
        <w:t xml:space="preserve"> and the live dashboard is available online: </w:t>
      </w:r>
      <w:hyperlink r:id="rId14">
        <w:r>
          <w:rPr>
            <w:rStyle w:val="Hyperlink"/>
          </w:rPr>
          <w:t>https://amsterdamstudygroup.shinyapps.io/CellSizeR/</w:t>
        </w:r>
      </w:hyperlink>
    </w:p>
    <w:p w14:paraId="78FC33D4" w14:textId="77777777" w:rsidR="00053AB8" w:rsidRDefault="00000000">
      <w:pPr>
        <w:pStyle w:val="Heading3"/>
      </w:pPr>
      <w:bookmarkStart w:id="4" w:name="use-case-2"/>
      <w:bookmarkEnd w:id="2"/>
      <w:r>
        <w:t>Use case 2</w:t>
      </w:r>
    </w:p>
    <w:p w14:paraId="7E5D53DB" w14:textId="77777777" w:rsidR="00053AB8" w:rsidRDefault="00000000">
      <w:pPr>
        <w:pStyle w:val="FirstParagraph"/>
      </w:pPr>
      <w:r>
        <w:rPr>
          <w:i/>
          <w:iCs/>
        </w:rPr>
        <w:t>Sample preparation and measurements</w:t>
      </w:r>
    </w:p>
    <w:p w14:paraId="5D6704E6" w14:textId="77777777" w:rsidR="00053AB8" w:rsidRDefault="00000000">
      <w:pPr>
        <w:pStyle w:val="BodyText"/>
      </w:pPr>
      <w:r>
        <w:t>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4</w:t>
      </w:r>
      <w:r>
        <w:t>.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 Images of at least 100 cells are acquired with the DAPI and TRITC filters sets. The nuclei in both channels are counted by hand, or in an automated way by segmentation and ‘particle analysis’ in imageJ to calculate the percentage of cells that are positive for Cy3 fluorescence, reflecting cells in the S-phase.</w:t>
      </w:r>
    </w:p>
    <w:p w14:paraId="5433CDA3" w14:textId="77777777" w:rsidR="00053AB8" w:rsidRDefault="00000000">
      <w:pPr>
        <w:pStyle w:val="BodyText"/>
      </w:pPr>
      <w:r>
        <w:rPr>
          <w:i/>
          <w:iCs/>
        </w:rPr>
        <w:t>Data collection</w:t>
      </w:r>
    </w:p>
    <w:p w14:paraId="6264B723" w14:textId="073489E0" w:rsidR="00053AB8" w:rsidRDefault="001C5648">
      <w:pPr>
        <w:pStyle w:val="BodyText"/>
      </w:pPr>
      <w:r>
        <w:t xml:space="preserve">The data of the measurements is collected through a Google Form. By submitting the form, the students give permission for the anonymous use of the data. </w:t>
      </w:r>
      <w:r w:rsidR="00000000">
        <w:t>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14:paraId="4CD29A26" w14:textId="77777777" w:rsidR="00053AB8" w:rsidRDefault="00000000">
      <w:pPr>
        <w:pStyle w:val="BodyText"/>
      </w:pPr>
      <w:r>
        <w:rPr>
          <w:i/>
          <w:iCs/>
        </w:rPr>
        <w:t>Data processing &amp; visualization</w:t>
      </w:r>
    </w:p>
    <w:p w14:paraId="467074E1" w14:textId="77777777" w:rsidR="00053AB8" w:rsidRDefault="00000000">
      <w:pPr>
        <w:pStyle w:val="BodyText"/>
      </w:pPr>
      <w:r>
        <w:t>The data that is in the Google Sheet can be downloaded and read into R (R Core Team 2022) as a CSV. All subsequent processing and data visualization is done with R and quarto. The cleaning of the data consists of removing empty cells, changing the column names, conversion to a tidy format, forcing the data into a ‘numeric’ type and filtering for sensible values (anything outside the generous range of 0-100 will be removed).</w:t>
      </w:r>
    </w:p>
    <w:p w14:paraId="6340A3BE" w14:textId="77777777" w:rsidR="00053AB8" w:rsidRDefault="00000000">
      <w:pPr>
        <w:pStyle w:val="Heading2"/>
      </w:pPr>
      <w:bookmarkStart w:id="5" w:name="sec-results"/>
      <w:bookmarkEnd w:id="1"/>
      <w:bookmarkEnd w:id="4"/>
      <w:r>
        <w:lastRenderedPageBreak/>
        <w:t>Results</w:t>
      </w:r>
    </w:p>
    <w:p w14:paraId="41D69F38" w14:textId="77777777" w:rsidR="00053AB8" w:rsidRDefault="00000000">
      <w:pPr>
        <w:pStyle w:val="Heading3"/>
      </w:pPr>
      <w:bookmarkStart w:id="6" w:name="Xa3dd0a162680c6863eb02a0092db8b9692db794"/>
      <w:r>
        <w:t>Use case 1: Comparing new results with historical data</w:t>
      </w:r>
    </w:p>
    <w:p w14:paraId="61A6F019" w14:textId="77777777" w:rsidR="00053AB8" w:rsidRDefault="00000000">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the data are uploaded with a Google form. Each sample is an independent observation as it originates from a unique human specimen. To evaluate the accuracy of their own measurements, the students can compare their data with the historical data that is displayed on an online, interactive dashboard: </w:t>
      </w:r>
      <w:hyperlink r:id="rId15">
        <w:r>
          <w:rPr>
            <w:rStyle w:val="Hyperlink"/>
          </w:rPr>
          <w:t>https://amsterdamstudygroup.shinyapps.io/CellSizeR/</w:t>
        </w:r>
      </w:hyperlink>
      <w:r>
        <w:t xml:space="preserve">. A snapshot of the dashboard is shown in </w:t>
      </w:r>
      <w:hyperlink w:anchor="fig-dashboard">
        <w:r>
          <w:rPr>
            <w:rStyle w:val="Hyperlink"/>
          </w:rPr>
          <w:t>Figure 2</w:t>
        </w:r>
      </w:hyperlink>
      <w:r>
        <w:t>.</w:t>
      </w:r>
    </w:p>
    <w:tbl>
      <w:tblPr>
        <w:tblStyle w:val="Table"/>
        <w:tblW w:w="5000" w:type="pct"/>
        <w:tblLook w:val="0000" w:firstRow="0" w:lastRow="0" w:firstColumn="0" w:lastColumn="0" w:noHBand="0" w:noVBand="0"/>
      </w:tblPr>
      <w:tblGrid>
        <w:gridCol w:w="9360"/>
      </w:tblGrid>
      <w:tr w:rsidR="00053AB8" w14:paraId="75228B49" w14:textId="77777777">
        <w:tc>
          <w:tcPr>
            <w:tcW w:w="0" w:type="auto"/>
          </w:tcPr>
          <w:p w14:paraId="5C55D73B" w14:textId="77777777" w:rsidR="00053AB8" w:rsidRDefault="00000000">
            <w:pPr>
              <w:jc w:val="center"/>
            </w:pPr>
            <w:bookmarkStart w:id="7" w:name="fig-dashboard"/>
            <w:r>
              <w:rPr>
                <w:noProof/>
              </w:rPr>
              <w:drawing>
                <wp:inline distT="0" distB="0" distL="0" distR="0" wp14:anchorId="2FEAE0FB" wp14:editId="60C5D8F8">
                  <wp:extent cx="5334000" cy="398658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Dashboard_230828.png"/>
                          <pic:cNvPicPr>
                            <a:picLocks noChangeAspect="1" noChangeArrowheads="1"/>
                          </pic:cNvPicPr>
                        </pic:nvPicPr>
                        <pic:blipFill>
                          <a:blip r:embed="rId16"/>
                          <a:stretch>
                            <a:fillRect/>
                          </a:stretch>
                        </pic:blipFill>
                        <pic:spPr bwMode="auto">
                          <a:xfrm>
                            <a:off x="0" y="0"/>
                            <a:ext cx="5334000" cy="3986588"/>
                          </a:xfrm>
                          <a:prstGeom prst="rect">
                            <a:avLst/>
                          </a:prstGeom>
                          <a:noFill/>
                          <a:ln w="9525">
                            <a:noFill/>
                            <a:headEnd/>
                            <a:tailEnd/>
                          </a:ln>
                        </pic:spPr>
                      </pic:pic>
                    </a:graphicData>
                  </a:graphic>
                </wp:inline>
              </w:drawing>
            </w:r>
          </w:p>
          <w:p w14:paraId="642EDEB4" w14:textId="77777777" w:rsidR="00053AB8" w:rsidRDefault="00000000">
            <w:pPr>
              <w:pStyle w:val="ImageCaption"/>
              <w:spacing w:before="200"/>
            </w:pPr>
            <w:r>
              <w:t>Figure 2: Screenshot of the dashboard that summarized the data on human cheek cell size measurements. The dashboard also displays the total number of entries and other metadata.</w:t>
            </w:r>
          </w:p>
        </w:tc>
        <w:bookmarkEnd w:id="7"/>
      </w:tr>
    </w:tbl>
    <w:p w14:paraId="49465EF0" w14:textId="77777777" w:rsidR="00053AB8" w:rsidRDefault="00000000">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 </w:t>
      </w:r>
      <w:hyperlink w:anchor="fig-dashboard">
        <w:r>
          <w:rPr>
            <w:rStyle w:val="Hyperlink"/>
          </w:rPr>
          <w:t>Figure 2</w:t>
        </w:r>
      </w:hyperlink>
      <w:r>
        <w:t>). The dashboard also shows the data for the 4 different groups and the size distribution of the cells by violin plots.</w:t>
      </w:r>
    </w:p>
    <w:p w14:paraId="2BB4FAED" w14:textId="77777777" w:rsidR="00053AB8" w:rsidRDefault="00000000">
      <w:pPr>
        <w:pStyle w:val="BodyText"/>
      </w:pPr>
      <w:r>
        <w:lastRenderedPageBreak/>
        <w:t>The histogram on the dashboard is the primary data that is useful for the students. It visualizes the distribution of individual data for both the cell and the nucleus. Since the sizes vary susbtantially, the data can be shown on a log-scale as well on the dashboard (</w:t>
      </w:r>
      <w:hyperlink w:anchor="fig-histogram">
        <w:r>
          <w:rPr>
            <w:rStyle w:val="Hyperlink"/>
          </w:rPr>
          <w:t>Figure 3</w:t>
        </w:r>
      </w:hyperlink>
      <w:r>
        <w:t>).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w="5000" w:type="pct"/>
        <w:tblLook w:val="0000" w:firstRow="0" w:lastRow="0" w:firstColumn="0" w:lastColumn="0" w:noHBand="0" w:noVBand="0"/>
      </w:tblPr>
      <w:tblGrid>
        <w:gridCol w:w="9360"/>
      </w:tblGrid>
      <w:tr w:rsidR="00053AB8" w14:paraId="2BF8D148" w14:textId="77777777">
        <w:tc>
          <w:tcPr>
            <w:tcW w:w="0" w:type="auto"/>
          </w:tcPr>
          <w:p w14:paraId="590B127D" w14:textId="77777777" w:rsidR="00053AB8" w:rsidRDefault="00000000">
            <w:pPr>
              <w:jc w:val="center"/>
            </w:pPr>
            <w:bookmarkStart w:id="8" w:name="fig-histogram"/>
            <w:r>
              <w:rPr>
                <w:noProof/>
              </w:rPr>
              <w:drawing>
                <wp:inline distT="0" distB="0" distL="0" distR="0" wp14:anchorId="21218F7E" wp14:editId="1F8A8FBF">
                  <wp:extent cx="5334000" cy="3810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fig-histogram-output-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18D12EB0" w14:textId="77777777" w:rsidR="00053AB8" w:rsidRDefault="00000000">
            <w:pPr>
              <w:pStyle w:val="ImageCaption"/>
              <w:spacing w:before="200"/>
            </w:pPr>
            <w:r>
              <w:t xml:space="preserve">Figure 3: Distribution of the measured size of human cheek cells and their nucleus on a log scale. Data from three years. Source: </w:t>
            </w:r>
            <w:hyperlink r:id="rId18" w:anchor="cell-fig-histogram">
              <w:r>
                <w:rPr>
                  <w:rStyle w:val="Hyperlink"/>
                </w:rPr>
                <w:t>Summarizing the size of cells</w:t>
              </w:r>
            </w:hyperlink>
          </w:p>
        </w:tc>
        <w:bookmarkEnd w:id="8"/>
      </w:tr>
    </w:tbl>
    <w:p w14:paraId="03818B9B" w14:textId="77777777" w:rsidR="00053AB8" w:rsidRDefault="00000000">
      <w:pPr>
        <w:pStyle w:val="BodyText"/>
      </w:pPr>
      <w:r>
        <w:t>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p w14:paraId="1BD5619F" w14:textId="77777777" w:rsidR="00053AB8" w:rsidRDefault="00000000">
      <w:pPr>
        <w:pStyle w:val="Heading3"/>
      </w:pPr>
      <w:bookmarkStart w:id="9" w:name="Xfe27607b21980653a2d1984f6ffa23a7333e195"/>
      <w:bookmarkEnd w:id="6"/>
      <w:r>
        <w:t>Use case 2: Determination of the percentage of cells in S-phase</w:t>
      </w:r>
    </w:p>
    <w:p w14:paraId="640EDFF6" w14:textId="77777777" w:rsidR="00053AB8" w:rsidRDefault="00000000">
      <w:pPr>
        <w:pStyle w:val="FirstParagraph"/>
      </w:pPr>
      <w:r>
        <w:t xml:space="preserve">The aim of the experiment is is to determine the number of cells, as percentage, that is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w:t>
      </w:r>
      <w:r>
        <w:lastRenderedPageBreak/>
        <w:t>analysis methods, manual and automated, is paired and can be visualised by a doplot in which the pairs of the data are connected (</w:t>
      </w:r>
      <w:hyperlink w:anchor="fig-paired-data">
        <w:r>
          <w:rPr>
            <w:rStyle w:val="Hyperlink"/>
          </w:rPr>
          <w:t>Figure 4</w:t>
        </w:r>
      </w:hyperlink>
      <w:r>
        <w:t>).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w="5000" w:type="pct"/>
        <w:tblLook w:val="0000" w:firstRow="0" w:lastRow="0" w:firstColumn="0" w:lastColumn="0" w:noHBand="0" w:noVBand="0"/>
      </w:tblPr>
      <w:tblGrid>
        <w:gridCol w:w="9360"/>
      </w:tblGrid>
      <w:tr w:rsidR="00053AB8" w14:paraId="3259A3D1" w14:textId="77777777">
        <w:tc>
          <w:tcPr>
            <w:tcW w:w="0" w:type="auto"/>
          </w:tcPr>
          <w:p w14:paraId="29B2B9FC" w14:textId="77777777" w:rsidR="00053AB8" w:rsidRDefault="00000000">
            <w:pPr>
              <w:jc w:val="center"/>
            </w:pPr>
            <w:bookmarkStart w:id="10" w:name="fig-paired-data"/>
            <w:r>
              <w:rPr>
                <w:noProof/>
              </w:rPr>
              <w:drawing>
                <wp:inline distT="0" distB="0" distL="0" distR="0" wp14:anchorId="21B943FE" wp14:editId="5B722430">
                  <wp:extent cx="5334000" cy="3810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ndex_files/figure-docx/fig-paired-data-output-1.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4895B550" w14:textId="77777777" w:rsidR="00053AB8" w:rsidRDefault="00000000">
            <w:pPr>
              <w:pStyle w:val="ImageCaption"/>
              <w:spacing w:before="200"/>
            </w:pPr>
            <w:r>
              <w:t xml:space="preserve">Figure 4: Comparing the manual and automated analysis. Source: </w:t>
            </w:r>
            <w:hyperlink r:id="rId20" w:anchor="cell-fig-paired-data">
              <w:r>
                <w:rPr>
                  <w:rStyle w:val="Hyperlink"/>
                </w:rPr>
                <w:t>The percentage of cells in the S-phase</w:t>
              </w:r>
            </w:hyperlink>
          </w:p>
        </w:tc>
        <w:bookmarkEnd w:id="10"/>
      </w:tr>
    </w:tbl>
    <w:p w14:paraId="33EE5607" w14:textId="77777777" w:rsidR="00053AB8" w:rsidRDefault="00000000">
      <w:pPr>
        <w:pStyle w:val="BodyText"/>
      </w:pPr>
      <w:r>
        <w:t>There is increasing attention on effects of experimental design on data analysis and visualization. The recently proposed superplot to distinguish biological and technical replicates is an intuitive and straightforward way to communicate the design (Lord et al. 2020).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Figure 5</w:t>
        </w:r>
      </w:hyperlink>
      <w:r>
        <w:t>), it can be observed that we received multiple submissions per group, leading to a precise measurement per group. The median values range from 23% to 44%. The average value of the independent observations is 36.7% [N=12, 95%CI: 33.0%-40.3%].</w:t>
      </w:r>
    </w:p>
    <w:tbl>
      <w:tblPr>
        <w:tblStyle w:val="Table"/>
        <w:tblW w:w="5000" w:type="pct"/>
        <w:tblLook w:val="0000" w:firstRow="0" w:lastRow="0" w:firstColumn="0" w:lastColumn="0" w:noHBand="0" w:noVBand="0"/>
      </w:tblPr>
      <w:tblGrid>
        <w:gridCol w:w="9360"/>
      </w:tblGrid>
      <w:tr w:rsidR="00053AB8" w14:paraId="7DDD06F4" w14:textId="77777777">
        <w:tc>
          <w:tcPr>
            <w:tcW w:w="0" w:type="auto"/>
          </w:tcPr>
          <w:p w14:paraId="596720DC" w14:textId="77777777" w:rsidR="00053AB8" w:rsidRDefault="00000000">
            <w:pPr>
              <w:jc w:val="center"/>
            </w:pPr>
            <w:bookmarkStart w:id="11" w:name="fig-superplot"/>
            <w:r>
              <w:rPr>
                <w:noProof/>
              </w:rPr>
              <w:lastRenderedPageBreak/>
              <w:drawing>
                <wp:inline distT="0" distB="0" distL="0" distR="0" wp14:anchorId="44E33920" wp14:editId="5C136BD9">
                  <wp:extent cx="5334000" cy="3810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ndex_files/figure-docx/fig-superplot-output-2.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14:paraId="64647B5A" w14:textId="77777777" w:rsidR="00053AB8" w:rsidRDefault="00000000">
            <w:pPr>
              <w:pStyle w:val="ImageCaption"/>
              <w:spacing w:before="200"/>
            </w:pPr>
            <w:r>
              <w:t xml:space="preserve">Figure 5: Data on the percentage of cells in e S-phase based on manual analysis. Each group &amp; year defines an independent observations and is shown as dotplot and the distribution. The larger dot reflects the median value. Source: </w:t>
            </w:r>
            <w:hyperlink r:id="rId22" w:anchor="cell-fig-superplot">
              <w:r>
                <w:rPr>
                  <w:rStyle w:val="Hyperlink"/>
                </w:rPr>
                <w:t>The percentage of cells in the S-phase</w:t>
              </w:r>
            </w:hyperlink>
          </w:p>
        </w:tc>
        <w:bookmarkEnd w:id="11"/>
      </w:tr>
    </w:tbl>
    <w:p w14:paraId="2360C7FC" w14:textId="77777777" w:rsidR="00053AB8" w:rsidRDefault="00000000">
      <w:pPr>
        <w:pStyle w:val="Heading2"/>
      </w:pPr>
      <w:bookmarkStart w:id="12" w:name="sec-discussion"/>
      <w:bookmarkEnd w:id="5"/>
      <w:bookmarkEnd w:id="9"/>
      <w:r>
        <w:t>Discussion</w:t>
      </w:r>
    </w:p>
    <w:p w14:paraId="52E4E670" w14:textId="77777777" w:rsidR="00053AB8" w:rsidRDefault="00000000">
      <w:pPr>
        <w:pStyle w:val="FirstParagraph"/>
      </w:pPr>
      <w:r>
        <w:t>Data that is generated in courses is often recorded by individual students or groups of students in reports. However, it can be valuable and interesting to collect and use these data. Here, I present a flexible and straightforward approach to collect and display data from a large group of students and over several years. A combination of Google Forms/Sheets for data collection and R for data processing and visualization is used.</w:t>
      </w:r>
    </w:p>
    <w:p w14:paraId="32693300" w14:textId="77777777" w:rsidR="00053AB8" w:rsidRDefault="00000000">
      <w:pPr>
        <w:pStyle w:val="BodyText"/>
      </w:pPr>
      <w:r>
        <w:t>In the first use case, the data is displayed in dashboard style. The dashboard gives a quick, interactive and complete overview of the data and it is used by students to evaluate their results. The aggregation of thet data and presentation on the dashboard is a nice reward for the students as they see that their data has value and is re-used by their peers.</w:t>
      </w:r>
    </w:p>
    <w:p w14:paraId="08D65873" w14:textId="77777777" w:rsidR="00053AB8" w:rsidRDefault="00000000">
      <w:pPr>
        <w:pStyle w:val="BodyText"/>
      </w:pPr>
      <w:r>
        <w:t>In the second use case, a quarto template is used to process and visualize the data. The use case shows how two methods can be compared and also shows that a high number of truly independent observations can be collected.</w:t>
      </w:r>
    </w:p>
    <w:p w14:paraId="220BF844" w14:textId="77777777" w:rsidR="00053AB8" w:rsidRDefault="00000000">
      <w:pPr>
        <w:pStyle w:val="BodyText"/>
      </w:pPr>
      <w:r>
        <w:t>For both use cases, the code is available and can be used as a starting point for the processing and visualization of other datasets. The approach that is presented here is not limited to practical courses. It can also be used to collect data from other crowds, or in collaborative science projects.</w:t>
      </w:r>
    </w:p>
    <w:p w14:paraId="403FFCEE" w14:textId="77777777" w:rsidR="00053AB8" w:rsidRDefault="00000000">
      <w:pPr>
        <w:pStyle w:val="BodyText"/>
      </w:pPr>
      <w:r>
        <w:lastRenderedPageBreak/>
        <w:t>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 (Sailem, Cooper, and Bakal 2016). The use cases described in this paper deal with these aspects.</w:t>
      </w:r>
    </w:p>
    <w:p w14:paraId="71D70116" w14:textId="77777777" w:rsidR="00053AB8" w:rsidRDefault="00000000">
      <w:pPr>
        <w:pStyle w:val="BodyText"/>
      </w:pPr>
      <w:r>
        <w:t>The aggregation of the data inevitably leads to a discussion on experimental design, as this is important to establish whether measurements are independent or not. This aspect of experimental design has received attention over the last years (Aarts et al. 2015; Sikkel et al. 2017; Eisner 2021) 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 (Lazic, Clarke-Williams, and Munafò 2018). In addition, it may stimulate cooperative learning (Tanner, Chatman, and Allen 2003).</w:t>
      </w:r>
    </w:p>
    <w:p w14:paraId="6051A5E5" w14:textId="77777777" w:rsidR="00053AB8" w:rsidRDefault="00000000">
      <w:pPr>
        <w:pStyle w:val="BodyText"/>
      </w:pPr>
      <w:r>
        <w:t>In conclusion, I feel it is valuable to collect data from practical courses and here we report one way to achieve that. I hope that serves as a starting point for others that want to collect, store and use data from large groups of students.</w:t>
      </w:r>
    </w:p>
    <w:p w14:paraId="37563A9A" w14:textId="77777777" w:rsidR="00053AB8" w:rsidRDefault="00000000">
      <w:pPr>
        <w:pStyle w:val="Heading3"/>
      </w:pPr>
      <w:bookmarkStart w:id="13" w:name="data-availability"/>
      <w:r>
        <w:t>Data availability</w:t>
      </w:r>
    </w:p>
    <w:p w14:paraId="0212FBD1" w14:textId="77777777" w:rsidR="00053AB8" w:rsidRDefault="00000000">
      <w:pPr>
        <w:pStyle w:val="FirstParagraph"/>
      </w:pPr>
      <w:r>
        <w:t xml:space="preserve">The data is available at: </w:t>
      </w:r>
      <w:hyperlink r:id="rId23">
        <w:r>
          <w:rPr>
            <w:rStyle w:val="Hyperlink"/>
          </w:rPr>
          <w:t>https://doi.org/10.5281/zenodo.8359955</w:t>
        </w:r>
      </w:hyperlink>
    </w:p>
    <w:p w14:paraId="2D533A8C" w14:textId="77777777" w:rsidR="00053AB8" w:rsidRDefault="00000000">
      <w:pPr>
        <w:pStyle w:val="Heading3"/>
      </w:pPr>
      <w:bookmarkStart w:id="14" w:name="code-availability"/>
      <w:bookmarkEnd w:id="13"/>
      <w:r>
        <w:t>Code availability</w:t>
      </w:r>
    </w:p>
    <w:p w14:paraId="6CF9DA7C" w14:textId="77777777" w:rsidR="00053AB8" w:rsidRDefault="00000000">
      <w:pPr>
        <w:pStyle w:val="FirstParagraph"/>
      </w:pPr>
      <w:r>
        <w:t xml:space="preserve">The code for this manuscript is available here: </w:t>
      </w:r>
      <w:hyperlink r:id="rId24">
        <w:r>
          <w:rPr>
            <w:rStyle w:val="Hyperlink"/>
          </w:rPr>
          <w:t>https://github.com/JoachimGoedhart/MS-StudentSourcing</w:t>
        </w:r>
      </w:hyperlink>
      <w:r>
        <w:t xml:space="preserve"> and it includes the notebook that was generated to analyze the S-phase data: </w:t>
      </w:r>
      <w:hyperlink r:id="rId25">
        <w:r>
          <w:rPr>
            <w:rStyle w:val="Hyperlink"/>
          </w:rPr>
          <w:t>https://github.com/JoachimGoedhart/MS-StudentSourcing/tree/main/notebooks</w:t>
        </w:r>
      </w:hyperlink>
      <w:r>
        <w:t xml:space="preserve"> The code for the dashboard ‘CellSizeR’ is deposited here: </w:t>
      </w:r>
      <w:hyperlink r:id="rId26">
        <w:r>
          <w:rPr>
            <w:rStyle w:val="Hyperlink"/>
          </w:rPr>
          <w:t>https://github.com/JoachimGoedhart/CellSizeR</w:t>
        </w:r>
      </w:hyperlink>
    </w:p>
    <w:p w14:paraId="483FBEC8" w14:textId="77777777" w:rsidR="00053AB8" w:rsidRDefault="00000000">
      <w:pPr>
        <w:pStyle w:val="BodyText"/>
      </w:pPr>
      <w:r>
        <w:t>Versioned code with a DOI will be made available upon acceptance.</w:t>
      </w:r>
    </w:p>
    <w:p w14:paraId="5086E289" w14:textId="77777777" w:rsidR="00053AB8" w:rsidRDefault="00000000">
      <w:pPr>
        <w:pStyle w:val="Heading3"/>
      </w:pPr>
      <w:bookmarkStart w:id="15" w:name="contributions"/>
      <w:bookmarkEnd w:id="14"/>
      <w:r>
        <w:t>Contributions</w:t>
      </w:r>
    </w:p>
    <w:p w14:paraId="61AD807A" w14:textId="77777777" w:rsidR="00053AB8" w:rsidRDefault="00000000">
      <w:pPr>
        <w:pStyle w:val="FirstParagraph"/>
      </w:pPr>
      <w:r>
        <w:t>J.G. conceived the project, acquired funding, wrote code, and wrote the manuscript.</w:t>
      </w:r>
    </w:p>
    <w:p w14:paraId="5826B8F0" w14:textId="77777777" w:rsidR="00053AB8" w:rsidRDefault="00000000">
      <w:pPr>
        <w:pStyle w:val="Heading3"/>
      </w:pPr>
      <w:bookmarkStart w:id="16" w:name="competing-interests"/>
      <w:bookmarkEnd w:id="15"/>
      <w:r>
        <w:t>Competing interests</w:t>
      </w:r>
    </w:p>
    <w:p w14:paraId="6091A940" w14:textId="77777777" w:rsidR="00053AB8" w:rsidRDefault="00000000">
      <w:pPr>
        <w:pStyle w:val="FirstParagraph"/>
      </w:pPr>
      <w:r>
        <w:t>The authors declare no competing interests</w:t>
      </w:r>
    </w:p>
    <w:p w14:paraId="4F16E2D4" w14:textId="77777777" w:rsidR="00053AB8" w:rsidRDefault="00000000">
      <w:pPr>
        <w:pStyle w:val="Heading3"/>
      </w:pPr>
      <w:bookmarkStart w:id="17" w:name="acknowledgments"/>
      <w:bookmarkEnd w:id="16"/>
      <w:r>
        <w:t>Acknowledgments</w:t>
      </w:r>
    </w:p>
    <w:p w14:paraId="3C08AC0B" w14:textId="77777777" w:rsidR="00053AB8" w:rsidRDefault="00000000">
      <w:pPr>
        <w:pStyle w:val="FirstParagraph"/>
      </w:pPr>
      <w:r>
        <w:t xml:space="preserve">A </w:t>
      </w:r>
      <w:hyperlink r:id="rId27">
        <w:r>
          <w:rPr>
            <w:rStyle w:val="Hyperlink"/>
          </w:rPr>
          <w:t>blog post by Garrick Aden-Buie</w:t>
        </w:r>
      </w:hyperlink>
      <w:r>
        <w:t xml:space="preserve"> 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p w14:paraId="33BCF159" w14:textId="77777777" w:rsidR="00053AB8" w:rsidRPr="001F4011" w:rsidRDefault="00000000">
      <w:pPr>
        <w:pStyle w:val="Heading2"/>
        <w:rPr>
          <w:lang w:val="nl-NL"/>
        </w:rPr>
      </w:pPr>
      <w:bookmarkStart w:id="18" w:name="references"/>
      <w:bookmarkEnd w:id="12"/>
      <w:bookmarkEnd w:id="17"/>
      <w:proofErr w:type="spellStart"/>
      <w:r w:rsidRPr="001F4011">
        <w:rPr>
          <w:lang w:val="nl-NL"/>
        </w:rPr>
        <w:lastRenderedPageBreak/>
        <w:t>References</w:t>
      </w:r>
      <w:proofErr w:type="spellEnd"/>
    </w:p>
    <w:p w14:paraId="5382C02D" w14:textId="77777777" w:rsidR="00E40CC3" w:rsidRDefault="00E40CC3">
      <w:pPr>
        <w:pStyle w:val="Bibliography"/>
        <w:rPr>
          <w:lang w:val="nl-NL"/>
        </w:rPr>
      </w:pPr>
      <w:bookmarkStart w:id="19" w:name="ref-Aarts2015"/>
      <w:bookmarkStart w:id="20" w:name="refs"/>
    </w:p>
    <w:p w14:paraId="7283A484" w14:textId="5AC505F7" w:rsidR="00053AB8" w:rsidRDefault="00000000">
      <w:pPr>
        <w:pStyle w:val="Bibliography"/>
      </w:pPr>
      <w:r w:rsidRPr="001F4011">
        <w:rPr>
          <w:lang w:val="nl-NL"/>
        </w:rPr>
        <w:t xml:space="preserve">Aarts, </w:t>
      </w:r>
      <w:proofErr w:type="spellStart"/>
      <w:r w:rsidRPr="001F4011">
        <w:rPr>
          <w:lang w:val="nl-NL"/>
        </w:rPr>
        <w:t>Emmeke</w:t>
      </w:r>
      <w:proofErr w:type="spellEnd"/>
      <w:r w:rsidRPr="001F4011">
        <w:rPr>
          <w:lang w:val="nl-NL"/>
        </w:rPr>
        <w:t xml:space="preserve">, Conor V. </w:t>
      </w:r>
      <w:proofErr w:type="spellStart"/>
      <w:r w:rsidRPr="001F4011">
        <w:rPr>
          <w:lang w:val="nl-NL"/>
        </w:rPr>
        <w:t>Dolan</w:t>
      </w:r>
      <w:proofErr w:type="spellEnd"/>
      <w:r w:rsidRPr="001F4011">
        <w:rPr>
          <w:lang w:val="nl-NL"/>
        </w:rPr>
        <w:t xml:space="preserve">, Matthijs Verhage, </w:t>
      </w:r>
      <w:proofErr w:type="spellStart"/>
      <w:r w:rsidRPr="001F4011">
        <w:rPr>
          <w:lang w:val="nl-NL"/>
        </w:rPr>
        <w:t>and</w:t>
      </w:r>
      <w:proofErr w:type="spellEnd"/>
      <w:r w:rsidRPr="001F4011">
        <w:rPr>
          <w:lang w:val="nl-NL"/>
        </w:rPr>
        <w:t xml:space="preserve"> Sophie van der Sluis. </w:t>
      </w:r>
      <w:r>
        <w:t xml:space="preserve">2015. “Multilevel Analysis Quantifies Variation in the Experimental Effect While Optimizing Power and Preventing False Positives.” </w:t>
      </w:r>
      <w:r>
        <w:rPr>
          <w:i/>
          <w:iCs/>
        </w:rPr>
        <w:t>BMC Neuroscience</w:t>
      </w:r>
      <w:r>
        <w:t xml:space="preserve"> 16 (1). </w:t>
      </w:r>
      <w:hyperlink r:id="rId28">
        <w:r>
          <w:rPr>
            <w:rStyle w:val="Hyperlink"/>
          </w:rPr>
          <w:t>https://doi.org/10.1186/s12868-015-0228-5</w:t>
        </w:r>
      </w:hyperlink>
      <w:r>
        <w:t>.</w:t>
      </w:r>
    </w:p>
    <w:p w14:paraId="3F4B5D34" w14:textId="77777777" w:rsidR="00053AB8" w:rsidRDefault="00000000">
      <w:pPr>
        <w:pStyle w:val="Bibliography"/>
      </w:pPr>
      <w:bookmarkStart w:id="21" w:name="ref-carpenter2007"/>
      <w:bookmarkEnd w:id="19"/>
      <w:r>
        <w:t xml:space="preserve">Carpenter, Anne E. 2007. “Software Opens the Door to Quantitative Imaging.” </w:t>
      </w:r>
      <w:r>
        <w:rPr>
          <w:i/>
          <w:iCs/>
        </w:rPr>
        <w:t>Nature Methods</w:t>
      </w:r>
      <w:r>
        <w:t xml:space="preserve"> 4 (2): 120–21. </w:t>
      </w:r>
      <w:hyperlink r:id="rId29">
        <w:r>
          <w:rPr>
            <w:rStyle w:val="Hyperlink"/>
          </w:rPr>
          <w:t>https://doi.org/10.1038/nmeth0207-120</w:t>
        </w:r>
      </w:hyperlink>
      <w:r>
        <w:t>.</w:t>
      </w:r>
    </w:p>
    <w:p w14:paraId="49437A78" w14:textId="77777777" w:rsidR="00053AB8" w:rsidRDefault="00000000">
      <w:pPr>
        <w:pStyle w:val="Bibliography"/>
      </w:pPr>
      <w:bookmarkStart w:id="22" w:name="ref-eisner2021"/>
      <w:bookmarkEnd w:id="21"/>
      <w:r>
        <w:t xml:space="preserve">Eisner, David A. 2021. “Pseudoreplication in Physiology: More Means Less.” </w:t>
      </w:r>
      <w:r>
        <w:rPr>
          <w:i/>
          <w:iCs/>
        </w:rPr>
        <w:t>Journal of General Physiology</w:t>
      </w:r>
      <w:r>
        <w:t xml:space="preserve"> 153 (2). </w:t>
      </w:r>
      <w:hyperlink r:id="rId30">
        <w:r>
          <w:rPr>
            <w:rStyle w:val="Hyperlink"/>
          </w:rPr>
          <w:t>https://doi.org/10.1085/jgp.202012826</w:t>
        </w:r>
      </w:hyperlink>
      <w:r>
        <w:t>.</w:t>
      </w:r>
    </w:p>
    <w:p w14:paraId="3CBE1A9F" w14:textId="77777777" w:rsidR="00053AB8" w:rsidRDefault="00000000">
      <w:pPr>
        <w:pStyle w:val="Bibliography"/>
      </w:pPr>
      <w:bookmarkStart w:id="23" w:name="ref-goedhart2022"/>
      <w:bookmarkEnd w:id="22"/>
      <w:r>
        <w:t xml:space="preserve">Goedhart, Joachim. 2022. </w:t>
      </w:r>
      <w:r>
        <w:rPr>
          <w:i/>
          <w:iCs/>
        </w:rPr>
        <w:t>DataViz Protocols - an Introduction to Data Visualization Protocols for Wet Lab Scientists</w:t>
      </w:r>
      <w:r>
        <w:t xml:space="preserve">. Zenodo. </w:t>
      </w:r>
      <w:hyperlink r:id="rId31">
        <w:r>
          <w:rPr>
            <w:rStyle w:val="Hyperlink"/>
          </w:rPr>
          <w:t>https://doi.org/10.5281/ZENODO.7257808</w:t>
        </w:r>
      </w:hyperlink>
      <w:r>
        <w:t>.</w:t>
      </w:r>
    </w:p>
    <w:p w14:paraId="6410151C" w14:textId="77777777" w:rsidR="00053AB8" w:rsidRDefault="00000000">
      <w:pPr>
        <w:pStyle w:val="Bibliography"/>
      </w:pPr>
      <w:bookmarkStart w:id="24" w:name="ref-hofstein2003"/>
      <w:bookmarkEnd w:id="23"/>
      <w:r>
        <w:t xml:space="preserve">Hofstein, Avi, and Vincent N. Lunetta. 2003. “The Laboratory in Science Education: Foundations for the Twenty-First Century.” </w:t>
      </w:r>
      <w:r>
        <w:rPr>
          <w:i/>
          <w:iCs/>
        </w:rPr>
        <w:t>Science Education</w:t>
      </w:r>
      <w:r>
        <w:t xml:space="preserve"> 88 (1): 28–54. </w:t>
      </w:r>
      <w:hyperlink r:id="rId32">
        <w:r>
          <w:rPr>
            <w:rStyle w:val="Hyperlink"/>
          </w:rPr>
          <w:t>https://doi.org/10.1002/sce.10106</w:t>
        </w:r>
      </w:hyperlink>
      <w:r>
        <w:t>.</w:t>
      </w:r>
    </w:p>
    <w:p w14:paraId="5806BAB9" w14:textId="77777777" w:rsidR="00053AB8" w:rsidRDefault="00000000">
      <w:pPr>
        <w:pStyle w:val="Bibliography"/>
      </w:pPr>
      <w:bookmarkStart w:id="25" w:name="ref-lazic2018"/>
      <w:bookmarkEnd w:id="24"/>
      <w:r>
        <w:t xml:space="preserve">Lazic, Stanley E., Charlie J. Clarke-Williams, and Marcus R. Munafò. 2018. “What Exactly Is ‘N’ in Cell Culture and Animal Experiments?” </w:t>
      </w:r>
      <w:r>
        <w:rPr>
          <w:i/>
          <w:iCs/>
        </w:rPr>
        <w:t>PLOS Biology</w:t>
      </w:r>
      <w:r>
        <w:t xml:space="preserve"> 16 (4): e2005282. </w:t>
      </w:r>
      <w:hyperlink r:id="rId33">
        <w:r>
          <w:rPr>
            <w:rStyle w:val="Hyperlink"/>
          </w:rPr>
          <w:t>https://doi.org/10.1371/journal.pbio.2005282</w:t>
        </w:r>
      </w:hyperlink>
      <w:r>
        <w:t>.</w:t>
      </w:r>
    </w:p>
    <w:p w14:paraId="15362619" w14:textId="77777777" w:rsidR="00053AB8" w:rsidRDefault="00000000">
      <w:pPr>
        <w:pStyle w:val="Bibliography"/>
      </w:pPr>
      <w:bookmarkStart w:id="26" w:name="ref-lord2020"/>
      <w:bookmarkEnd w:id="25"/>
      <w:r>
        <w:t xml:space="preserve">Lord, Samuel J., Katrina B. Velle, R. Dyche Mullins, and Lillian K. Fritz-Laylin. 2020. “SuperPlots: Communicating Reproducibility and Variability in Cell Biology.” </w:t>
      </w:r>
      <w:r>
        <w:rPr>
          <w:i/>
          <w:iCs/>
        </w:rPr>
        <w:t>Journal of Cell Biology</w:t>
      </w:r>
      <w:r>
        <w:t xml:space="preserve"> 219 (6). </w:t>
      </w:r>
      <w:hyperlink r:id="rId34">
        <w:r>
          <w:rPr>
            <w:rStyle w:val="Hyperlink"/>
          </w:rPr>
          <w:t>https://doi.org/10.1083/jcb.202001064</w:t>
        </w:r>
      </w:hyperlink>
      <w:r>
        <w:t>.</w:t>
      </w:r>
    </w:p>
    <w:p w14:paraId="59604D38" w14:textId="77777777" w:rsidR="00053AB8" w:rsidRDefault="00000000">
      <w:pPr>
        <w:pStyle w:val="Bibliography"/>
      </w:pPr>
      <w:bookmarkStart w:id="27" w:name="ref-RCore"/>
      <w:bookmarkEnd w:id="26"/>
      <w:r>
        <w:t xml:space="preserve">R Core Team. 2022. </w:t>
      </w:r>
      <w:r>
        <w:rPr>
          <w:i/>
          <w:iCs/>
        </w:rPr>
        <w:t>R: A Language and Environment for Statistical Computing</w:t>
      </w:r>
      <w:r>
        <w:t xml:space="preserve">. Vienna, Austria: R Foundation for Statistical Computing. </w:t>
      </w:r>
      <w:hyperlink r:id="rId35">
        <w:r>
          <w:rPr>
            <w:rStyle w:val="Hyperlink"/>
          </w:rPr>
          <w:t>https://www.R-project.org/</w:t>
        </w:r>
      </w:hyperlink>
      <w:r>
        <w:t>.</w:t>
      </w:r>
    </w:p>
    <w:p w14:paraId="5E7F49C3" w14:textId="77777777" w:rsidR="00053AB8" w:rsidRDefault="00000000">
      <w:pPr>
        <w:pStyle w:val="Bibliography"/>
      </w:pPr>
      <w:bookmarkStart w:id="28" w:name="ref-reid2007"/>
      <w:bookmarkEnd w:id="27"/>
      <w:r>
        <w:t xml:space="preserve">Reid, Norman, and Iqbal Shah. 2007. “The Role of Laboratory Work in University Chemistry.” </w:t>
      </w:r>
      <w:r>
        <w:rPr>
          <w:i/>
          <w:iCs/>
        </w:rPr>
        <w:t>Chem. Educ. Res. Pract.</w:t>
      </w:r>
      <w:r>
        <w:t xml:space="preserve"> 8 (2): 172–85. </w:t>
      </w:r>
      <w:hyperlink r:id="rId36">
        <w:r>
          <w:rPr>
            <w:rStyle w:val="Hyperlink"/>
          </w:rPr>
          <w:t>https://doi.org/10.1039/b5rp90026c</w:t>
        </w:r>
      </w:hyperlink>
      <w:r>
        <w:t>.</w:t>
      </w:r>
    </w:p>
    <w:p w14:paraId="543DB7AC" w14:textId="77777777" w:rsidR="00053AB8" w:rsidRDefault="00000000">
      <w:pPr>
        <w:pStyle w:val="Bibliography"/>
      </w:pPr>
      <w:bookmarkStart w:id="29" w:name="ref-renz2013"/>
      <w:bookmarkEnd w:id="28"/>
      <w:r>
        <w:t xml:space="preserve">Renz, Malte. 2013. “Fluorescence Microscopy-A Historical and Technical Perspective.” </w:t>
      </w:r>
      <w:r>
        <w:rPr>
          <w:i/>
          <w:iCs/>
        </w:rPr>
        <w:t>Cytometry Part A</w:t>
      </w:r>
      <w:r>
        <w:t xml:space="preserve"> 83 (9): 767–79. </w:t>
      </w:r>
      <w:hyperlink r:id="rId37">
        <w:r>
          <w:rPr>
            <w:rStyle w:val="Hyperlink"/>
          </w:rPr>
          <w:t>https://doi.org/10.1002/cyto.a.22295</w:t>
        </w:r>
      </w:hyperlink>
      <w:r>
        <w:t>.</w:t>
      </w:r>
    </w:p>
    <w:p w14:paraId="5EBC28A9" w14:textId="77777777" w:rsidR="00053AB8" w:rsidRDefault="00000000">
      <w:pPr>
        <w:pStyle w:val="Bibliography"/>
      </w:pPr>
      <w:bookmarkStart w:id="30" w:name="ref-sailem2016"/>
      <w:bookmarkEnd w:id="29"/>
      <w:r>
        <w:t xml:space="preserve">Sailem, Heba Z., Sam Cooper, and Chris Bakal. 2016. “Visualizing Quantitative Microscopy Data: History and Challenges.” </w:t>
      </w:r>
      <w:r>
        <w:rPr>
          <w:i/>
          <w:iCs/>
        </w:rPr>
        <w:t>Critical Reviews in Biochemistry and Molecular Biology</w:t>
      </w:r>
      <w:r>
        <w:t xml:space="preserve"> 51 (2): 96–101. </w:t>
      </w:r>
      <w:hyperlink r:id="rId38">
        <w:r>
          <w:rPr>
            <w:rStyle w:val="Hyperlink"/>
          </w:rPr>
          <w:t>https://doi.org/10.3109/10409238.2016.1146222</w:t>
        </w:r>
      </w:hyperlink>
      <w:r>
        <w:t>.</w:t>
      </w:r>
    </w:p>
    <w:p w14:paraId="7370B9CD" w14:textId="77777777" w:rsidR="00053AB8" w:rsidRDefault="00000000">
      <w:pPr>
        <w:pStyle w:val="Bibliography"/>
      </w:pPr>
      <w:bookmarkStart w:id="31" w:name="ref-schneider2012"/>
      <w:bookmarkEnd w:id="30"/>
      <w:r>
        <w:t xml:space="preserve">Schneider, Caroline A, Wayne S Rasband, and Kevin W Eliceiri. 2012. “NIH Image to ImageJ: 25 Years of Image Analysis.” </w:t>
      </w:r>
      <w:r>
        <w:rPr>
          <w:i/>
          <w:iCs/>
        </w:rPr>
        <w:t>Nature Methods</w:t>
      </w:r>
      <w:r>
        <w:t xml:space="preserve"> 9 (7): 671–75. </w:t>
      </w:r>
      <w:hyperlink r:id="rId39">
        <w:r>
          <w:rPr>
            <w:rStyle w:val="Hyperlink"/>
          </w:rPr>
          <w:t>https://doi.org/10.1038/nmeth.2089</w:t>
        </w:r>
      </w:hyperlink>
      <w:r>
        <w:t>.</w:t>
      </w:r>
    </w:p>
    <w:p w14:paraId="4694E894" w14:textId="77777777" w:rsidR="00053AB8" w:rsidRDefault="00000000">
      <w:pPr>
        <w:pStyle w:val="Bibliography"/>
      </w:pPr>
      <w:bookmarkStart w:id="32" w:name="ref-senft2023"/>
      <w:bookmarkEnd w:id="31"/>
      <w:r>
        <w:t xml:space="preserve">Senft, Rebecca A., Barbara Diaz-Rohrer, Pina Colarusso, Lucy Swift, Nasim Jamali, Helena Jambor, Thomas Pengo, et al. 2023. “A Biologist’s Guide to Planning and Performing </w:t>
      </w:r>
      <w:r>
        <w:lastRenderedPageBreak/>
        <w:t xml:space="preserve">Quantitative Bioimaging Experiments.” </w:t>
      </w:r>
      <w:r>
        <w:rPr>
          <w:i/>
          <w:iCs/>
        </w:rPr>
        <w:t>PLOS Biology</w:t>
      </w:r>
      <w:r>
        <w:t xml:space="preserve"> 21 (6): e3002167. </w:t>
      </w:r>
      <w:hyperlink r:id="rId40">
        <w:r>
          <w:rPr>
            <w:rStyle w:val="Hyperlink"/>
          </w:rPr>
          <w:t>https://doi.org/10.1371/journal.pbio.3002167</w:t>
        </w:r>
      </w:hyperlink>
      <w:r>
        <w:t>.</w:t>
      </w:r>
    </w:p>
    <w:p w14:paraId="59AB6063" w14:textId="77777777" w:rsidR="00053AB8" w:rsidRDefault="00000000">
      <w:pPr>
        <w:pStyle w:val="Bibliography"/>
      </w:pPr>
      <w:bookmarkStart w:id="33" w:name="ref-sikkel2017"/>
      <w:bookmarkEnd w:id="32"/>
      <w:r>
        <w:t xml:space="preserve">Sikkel, Markus B, Darrel P Francis, James Howard, Fabiana Gordon, Christina Rowlands, Nicholas S Peters, Alexander R Lyon, Sian E Harding, and Kenneth T MacLeod. 2017. “Hierarchical Statistical Techniques Are Necessary to Draw Reliable Conclusions from Analysis of Isolated Cardiomyocyte Studies.” </w:t>
      </w:r>
      <w:r>
        <w:rPr>
          <w:i/>
          <w:iCs/>
        </w:rPr>
        <w:t>Cardiovascular Research</w:t>
      </w:r>
      <w:r>
        <w:t xml:space="preserve"> 113 (14): 1743–52. </w:t>
      </w:r>
      <w:hyperlink r:id="rId41">
        <w:r>
          <w:rPr>
            <w:rStyle w:val="Hyperlink"/>
          </w:rPr>
          <w:t>https://doi.org/10.1093/cvr/cvx151</w:t>
        </w:r>
      </w:hyperlink>
      <w:r>
        <w:t>.</w:t>
      </w:r>
    </w:p>
    <w:p w14:paraId="1E9DA204" w14:textId="77777777" w:rsidR="00053AB8" w:rsidRDefault="00000000">
      <w:pPr>
        <w:pStyle w:val="Bibliography"/>
      </w:pPr>
      <w:bookmarkStart w:id="34" w:name="ref-tanner2003"/>
      <w:bookmarkEnd w:id="33"/>
      <w:r>
        <w:t xml:space="preserve">Tanner, Kimberly, Liesl S. Chatman, and Deborah Allen. 2003. “Approaches to Cell Biology Teaching: Cooperative Learning in the Science ClassroomBeyond Students Working in Groups.” </w:t>
      </w:r>
      <w:r>
        <w:rPr>
          <w:i/>
          <w:iCs/>
        </w:rPr>
        <w:t>Cell Biology Education</w:t>
      </w:r>
      <w:r>
        <w:t xml:space="preserve"> 2 (1): 1–5. </w:t>
      </w:r>
      <w:hyperlink r:id="rId42">
        <w:r>
          <w:rPr>
            <w:rStyle w:val="Hyperlink"/>
          </w:rPr>
          <w:t>https://doi.org/10.1187/cbe.03-03-0010</w:t>
        </w:r>
      </w:hyperlink>
      <w:r>
        <w:t>.</w:t>
      </w:r>
    </w:p>
    <w:p w14:paraId="205D2415" w14:textId="77777777" w:rsidR="00053AB8" w:rsidRDefault="00000000">
      <w:pPr>
        <w:pStyle w:val="Bibliography"/>
      </w:pPr>
      <w:bookmarkStart w:id="35" w:name="ref-wait2020"/>
      <w:bookmarkEnd w:id="34"/>
      <w:r>
        <w:t xml:space="preserve">Wait, Eric C., Michael A. Reiche, and Teng-Leong Chew. 2020. “Hypothesis-Driven Quantitative Fluorescence Microscopy  the Importance of Reverse-Thinking in Experimental Design.” </w:t>
      </w:r>
      <w:r>
        <w:rPr>
          <w:i/>
          <w:iCs/>
        </w:rPr>
        <w:t>Journal of Cell Science</w:t>
      </w:r>
      <w:r>
        <w:t xml:space="preserve"> 133 (21). </w:t>
      </w:r>
      <w:hyperlink r:id="rId43">
        <w:r>
          <w:rPr>
            <w:rStyle w:val="Hyperlink"/>
          </w:rPr>
          <w:t>https://doi.org/10.1242/jcs.250027</w:t>
        </w:r>
      </w:hyperlink>
      <w:r>
        <w:t>.</w:t>
      </w:r>
    </w:p>
    <w:p w14:paraId="303E0F0C" w14:textId="77777777" w:rsidR="00053AB8" w:rsidRDefault="00000000">
      <w:pPr>
        <w:pStyle w:val="Bibliography"/>
      </w:pPr>
      <w:bookmarkStart w:id="36" w:name="ref-waters2009"/>
      <w:bookmarkEnd w:id="35"/>
      <w:r>
        <w:t xml:space="preserve">Waters, Jennifer C. 2009. “Accuracy and Precision in Quantitative Fluorescence Microscopy.” </w:t>
      </w:r>
      <w:r>
        <w:rPr>
          <w:i/>
          <w:iCs/>
        </w:rPr>
        <w:t>Journal of Cell Biology</w:t>
      </w:r>
      <w:r>
        <w:t xml:space="preserve"> 185 (7): 1135–48. </w:t>
      </w:r>
      <w:hyperlink r:id="rId44">
        <w:r>
          <w:rPr>
            <w:rStyle w:val="Hyperlink"/>
          </w:rPr>
          <w:t>https://doi.org/10.1083/jcb.200903097</w:t>
        </w:r>
      </w:hyperlink>
      <w:r>
        <w:t>.</w:t>
      </w:r>
      <w:bookmarkEnd w:id="18"/>
      <w:bookmarkEnd w:id="20"/>
      <w:bookmarkEnd w:id="36"/>
    </w:p>
    <w:sectPr w:rsidR="00053A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A9A43" w14:textId="77777777" w:rsidR="00EB728D" w:rsidRDefault="00EB728D">
      <w:pPr>
        <w:spacing w:after="0"/>
      </w:pPr>
      <w:r>
        <w:separator/>
      </w:r>
    </w:p>
  </w:endnote>
  <w:endnote w:type="continuationSeparator" w:id="0">
    <w:p w14:paraId="0FEE43A6" w14:textId="77777777" w:rsidR="00EB728D" w:rsidRDefault="00EB72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EF5AF" w14:textId="77777777" w:rsidR="00EB728D" w:rsidRDefault="00EB728D">
      <w:r>
        <w:separator/>
      </w:r>
    </w:p>
  </w:footnote>
  <w:footnote w:type="continuationSeparator" w:id="0">
    <w:p w14:paraId="665509E1" w14:textId="77777777" w:rsidR="00EB728D" w:rsidRDefault="00EB7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ACAFD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50680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AB8"/>
    <w:rsid w:val="00053AB8"/>
    <w:rsid w:val="001C5648"/>
    <w:rsid w:val="001F4011"/>
    <w:rsid w:val="009C1BAD"/>
    <w:rsid w:val="00E40CC3"/>
    <w:rsid w:val="00EB72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3CE2F5"/>
  <w15:docId w15:val="{BF1936C1-0F0E-084E-A6E0-F24001FF4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achimGoedhart/CellSizeR" TargetMode="External"/><Relationship Id="rId18" Type="http://schemas.openxmlformats.org/officeDocument/2006/relationships/hyperlink" Target="https://JoachimGoedhart.github.io/MS-StudentSourcing/notebooks/CellSizeR-preview.html" TargetMode="External"/><Relationship Id="rId26" Type="http://schemas.openxmlformats.org/officeDocument/2006/relationships/hyperlink" Target="https://github.com/JoachimGoedhart/CellSizeR" TargetMode="External"/><Relationship Id="rId39" Type="http://schemas.openxmlformats.org/officeDocument/2006/relationships/hyperlink" Target="https://doi.org/10.1038/nmeth.2089" TargetMode="External"/><Relationship Id="rId21" Type="http://schemas.openxmlformats.org/officeDocument/2006/relationships/image" Target="media/image5.png"/><Relationship Id="rId34" Type="http://schemas.openxmlformats.org/officeDocument/2006/relationships/hyperlink" Target="https://doi.org/10.1083/jcb.202001064" TargetMode="External"/><Relationship Id="rId42" Type="http://schemas.openxmlformats.org/officeDocument/2006/relationships/hyperlink" Target="https://doi.org/10.1187/cbe.03-03-0010" TargetMode="External"/><Relationship Id="rId7" Type="http://schemas.openxmlformats.org/officeDocument/2006/relationships/hyperlink" Target="https://quarto.or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038/nmeth0207-1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JoachimGoedhart/MS-StudentSourcing" TargetMode="External"/><Relationship Id="rId32" Type="http://schemas.openxmlformats.org/officeDocument/2006/relationships/hyperlink" Target="https://doi.org/10.1002/sce.10106" TargetMode="External"/><Relationship Id="rId37" Type="http://schemas.openxmlformats.org/officeDocument/2006/relationships/hyperlink" Target="https://doi.org/10.1002/cyto.a.22295" TargetMode="External"/><Relationship Id="rId40" Type="http://schemas.openxmlformats.org/officeDocument/2006/relationships/hyperlink" Target="https://doi.org/10.1371/journal.pbio.3002167"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msterdamstudygroup.shinyapps.io/CellSizeR/" TargetMode="External"/><Relationship Id="rId23" Type="http://schemas.openxmlformats.org/officeDocument/2006/relationships/hyperlink" Target="https://doi.org/10.5281/zenodo.8359955" TargetMode="External"/><Relationship Id="rId28" Type="http://schemas.openxmlformats.org/officeDocument/2006/relationships/hyperlink" Target="https://doi.org/10.1186/s12868-015-0228-5" TargetMode="External"/><Relationship Id="rId36" Type="http://schemas.openxmlformats.org/officeDocument/2006/relationships/hyperlink" Target="https://doi.org/10.1039/b5rp90026c" TargetMode="External"/><Relationship Id="rId10" Type="http://schemas.openxmlformats.org/officeDocument/2006/relationships/hyperlink" Target="https://www.fishersci.com/shop/products/stage-graticules-s8/5028481" TargetMode="External"/><Relationship Id="rId19" Type="http://schemas.openxmlformats.org/officeDocument/2006/relationships/image" Target="media/image4.png"/><Relationship Id="rId31" Type="http://schemas.openxmlformats.org/officeDocument/2006/relationships/hyperlink" Target="https://doi.org/10.5281/ZENODO.7257808" TargetMode="External"/><Relationship Id="rId44" Type="http://schemas.openxmlformats.org/officeDocument/2006/relationships/hyperlink" Target="https://doi.org/10.1083/jcb.200903097" TargetMode="External"/><Relationship Id="rId4" Type="http://schemas.openxmlformats.org/officeDocument/2006/relationships/webSettings" Target="webSettings.xml"/><Relationship Id="rId9" Type="http://schemas.openxmlformats.org/officeDocument/2006/relationships/hyperlink" Target="https://joachimgoedhart.github.io/MS-StudentSourcing/" TargetMode="External"/><Relationship Id="rId14" Type="http://schemas.openxmlformats.org/officeDocument/2006/relationships/hyperlink" Target="https://amsterdamstudygroup.shinyapps.io/CellSizeR/" TargetMode="External"/><Relationship Id="rId22" Type="http://schemas.openxmlformats.org/officeDocument/2006/relationships/hyperlink" Target="https://JoachimGoedhart.github.io/MS-StudentSourcing/notebooks/PreciSe-preview.html" TargetMode="External"/><Relationship Id="rId27" Type="http://schemas.openxmlformats.org/officeDocument/2006/relationships/hyperlink" Target="https://www.garrickadenbuie.com/blog/use-google-forms-and-r-to-track-data-easily/" TargetMode="External"/><Relationship Id="rId30" Type="http://schemas.openxmlformats.org/officeDocument/2006/relationships/hyperlink" Target="https://doi.org/10.1085/jgp.202012826" TargetMode="External"/><Relationship Id="rId35" Type="http://schemas.openxmlformats.org/officeDocument/2006/relationships/hyperlink" Target="https://www.R-project.org/" TargetMode="External"/><Relationship Id="rId43" Type="http://schemas.openxmlformats.org/officeDocument/2006/relationships/hyperlink" Target="https://doi.org/10.1242/jcs.250027" TargetMode="External"/><Relationship Id="rId8" Type="http://schemas.openxmlformats.org/officeDocument/2006/relationships/hyperlink" Target="https://github.com/JoachimGoedhart/MS-StudentSourcing" TargetMode="External"/><Relationship Id="rId3" Type="http://schemas.openxmlformats.org/officeDocument/2006/relationships/settings" Target="settings.xml"/><Relationship Id="rId12" Type="http://schemas.openxmlformats.org/officeDocument/2006/relationships/hyperlink" Target="https://github.com/JoachimGoedhart/CellSizeR" TargetMode="External"/><Relationship Id="rId17" Type="http://schemas.openxmlformats.org/officeDocument/2006/relationships/image" Target="media/image3.png"/><Relationship Id="rId25" Type="http://schemas.openxmlformats.org/officeDocument/2006/relationships/hyperlink" Target="https://github.com/JoachimGoedhart/MS-StudentSourcing/tree/main/notebooks" TargetMode="External"/><Relationship Id="rId33" Type="http://schemas.openxmlformats.org/officeDocument/2006/relationships/hyperlink" Target="https://doi.org/10.1371/journal.pbio.2005282" TargetMode="External"/><Relationship Id="rId38" Type="http://schemas.openxmlformats.org/officeDocument/2006/relationships/hyperlink" Target="https://doi.org/10.3109/10409238.2016.1146222" TargetMode="External"/><Relationship Id="rId46" Type="http://schemas.openxmlformats.org/officeDocument/2006/relationships/theme" Target="theme/theme1.xml"/><Relationship Id="rId20" Type="http://schemas.openxmlformats.org/officeDocument/2006/relationships/hyperlink" Target="https://JoachimGoedhart.github.io/MS-StudentSourcing/notebooks/PreciSe-preview.html" TargetMode="External"/><Relationship Id="rId41" Type="http://schemas.openxmlformats.org/officeDocument/2006/relationships/hyperlink" Target="https://doi.org/10.1093/cvr/cvx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3546</Words>
  <Characters>20218</Characters>
  <Application>Microsoft Office Word</Application>
  <DocSecurity>0</DocSecurity>
  <Lines>168</Lines>
  <Paragraphs>47</Paragraphs>
  <ScaleCrop>false</ScaleCrop>
  <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cp:lastModifiedBy>Joachim Goedhart</cp:lastModifiedBy>
  <cp:revision>3</cp:revision>
  <dcterms:created xsi:type="dcterms:W3CDTF">2023-09-29T15:07:00Z</dcterms:created>
  <dcterms:modified xsi:type="dcterms:W3CDTF">2023-09-29T15:08:00Z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2023-09-19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