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Studentsourcing</w:t>
      </w:r>
      <w:r>
        <w:t xml:space="preserve"> </w:t>
      </w:r>
      <w:r>
        <w:t xml:space="preserve">-</w:t>
      </w:r>
      <w:r>
        <w:t xml:space="preserve"> </w:t>
      </w:r>
      <w:r>
        <w:t xml:space="preserve">aggregating</w:t>
      </w:r>
      <w:r>
        <w:t xml:space="preserve"> </w:t>
      </w:r>
      <w:r>
        <w:t xml:space="preserve">and</w:t>
      </w:r>
      <w:r>
        <w:t xml:space="preserve"> </w:t>
      </w:r>
      <w:r>
        <w:t xml:space="preserve">re-using</w:t>
      </w:r>
      <w:r>
        <w:t xml:space="preserve"> </w:t>
      </w:r>
      <w:r>
        <w:t xml:space="preserve">data</w:t>
      </w:r>
      <w:r>
        <w:t xml:space="preserve"> </w:t>
      </w:r>
      <w:r>
        <w:t xml:space="preserve">from</w:t>
      </w:r>
      <w:r>
        <w:t xml:space="preserve"> </w:t>
      </w:r>
      <w:r>
        <w:t xml:space="preserve">a</w:t>
      </w:r>
      <w:r>
        <w:t xml:space="preserve"> </w:t>
      </w:r>
      <w:r>
        <w:t xml:space="preserve">practical</w:t>
      </w:r>
      <w:r>
        <w:t xml:space="preserve"> </w:t>
      </w:r>
      <w:r>
        <w:t xml:space="preserve">cell</w:t>
      </w:r>
      <w:r>
        <w:t xml:space="preserve"> </w:t>
      </w:r>
      <w:r>
        <w:t xml:space="preserve">biology</w:t>
      </w:r>
      <w:r>
        <w:t xml:space="preserve"> </w:t>
      </w:r>
      <w:r>
        <w:t xml:space="preserve">course</w:t>
      </w:r>
    </w:p>
    <w:p>
      <w:pPr>
        <w:pStyle w:val="Author"/>
      </w:pPr>
      <w:r>
        <w:t xml:space="preserve">Joachim</w:t>
      </w:r>
      <w:r>
        <w:t xml:space="preserve"> </w:t>
      </w:r>
      <w:r>
        <w:t xml:space="preserve">Goedhart</w:t>
      </w:r>
    </w:p>
    <w:p>
      <w:pPr>
        <w:pStyle w:val="Date"/>
      </w:pPr>
      <w:r>
        <w:t xml:space="preserve">2023-08-28</w:t>
      </w:r>
    </w:p>
    <w:p>
      <w:pPr>
        <w:pStyle w:val="AbstractTitle"/>
      </w:pPr>
      <w:r>
        <w:t xml:space="preserve">Abstract</w:t>
      </w:r>
    </w:p>
    <w:p>
      <w:pPr>
        <w:pStyle w:val="Abstract"/>
      </w:pP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during</w:t>
      </w:r>
      <w:r>
        <w:t xml:space="preserve"> </w:t>
      </w:r>
      <w:r>
        <w:t xml:space="preserve">a</w:t>
      </w:r>
      <w:r>
        <w:t xml:space="preserve"> </w:t>
      </w:r>
      <w:r>
        <w:t xml:space="preserve">course</w:t>
      </w:r>
      <w:r>
        <w:t xml:space="preserve"> </w:t>
      </w:r>
      <w:r>
        <w:t xml:space="preserve">is</w:t>
      </w:r>
      <w:r>
        <w:t xml:space="preserve"> </w:t>
      </w:r>
      <w:r>
        <w:t xml:space="preserve">often</w:t>
      </w:r>
      <w:r>
        <w:t xml:space="preserve"> </w:t>
      </w:r>
      <w:r>
        <w:t xml:space="preserve">lost</w:t>
      </w:r>
      <w:r>
        <w:t xml:space="preserve"> </w:t>
      </w:r>
      <w:r>
        <w:t xml:space="preserve">as</w:t>
      </w:r>
      <w:r>
        <w:t xml:space="preserve"> </w:t>
      </w:r>
      <w:r>
        <w:t xml:space="preserve">there</w:t>
      </w:r>
      <w:r>
        <w:t xml:space="preserve"> </w:t>
      </w:r>
      <w:r>
        <w:t xml:space="preserve">is</w:t>
      </w:r>
      <w:r>
        <w:t xml:space="preserve"> </w:t>
      </w:r>
      <w:r>
        <w:t xml:space="preserve">no</w:t>
      </w:r>
      <w:r>
        <w:t xml:space="preserve"> </w:t>
      </w:r>
      <w:r>
        <w:t xml:space="preserve">central,</w:t>
      </w:r>
      <w:r>
        <w:t xml:space="preserve"> </w:t>
      </w:r>
      <w:r>
        <w:t xml:space="preserve">structured</w:t>
      </w:r>
      <w:r>
        <w:t xml:space="preserve"> </w:t>
      </w:r>
      <w:r>
        <w:t xml:space="preserve">storage</w:t>
      </w:r>
      <w:r>
        <w:t xml:space="preserve"> </w:t>
      </w:r>
      <w:r>
        <w:t xml:space="preserve">of</w:t>
      </w:r>
      <w:r>
        <w:t xml:space="preserve"> </w:t>
      </w:r>
      <w:r>
        <w:t xml:space="preserve">those</w:t>
      </w:r>
      <w:r>
        <w:t xml:space="preserve"> </w:t>
      </w:r>
      <w:r>
        <w:t xml:space="preserve">data.</w:t>
      </w:r>
      <w:r>
        <w:t xml:space="preserve"> </w:t>
      </w:r>
      <w:r>
        <w:t xml:space="preserve">The</w:t>
      </w:r>
      <w:r>
        <w:t xml:space="preserve"> </w:t>
      </w:r>
      <w:r>
        <w:t xml:space="preserve">loss</w:t>
      </w:r>
      <w:r>
        <w:t xml:space="preserve"> </w:t>
      </w:r>
      <w:r>
        <w:t xml:space="preserve">of</w:t>
      </w:r>
      <w:r>
        <w:t xml:space="preserve"> </w:t>
      </w:r>
      <w:r>
        <w:t xml:space="preserve">data</w:t>
      </w:r>
      <w:r>
        <w:t xml:space="preserve"> </w:t>
      </w:r>
      <w:r>
        <w:t xml:space="preserve">prevents</w:t>
      </w:r>
      <w:r>
        <w:t xml:space="preserve"> </w:t>
      </w:r>
      <w:r>
        <w:t xml:space="preserve">its</w:t>
      </w:r>
      <w:r>
        <w:t xml:space="preserve"> </w:t>
      </w:r>
      <w:r>
        <w:t xml:space="preserve">re-use.</w:t>
      </w:r>
      <w:r>
        <w:t xml:space="preserve"> </w:t>
      </w:r>
      <w:r>
        <w:t xml:space="preserve">To</w:t>
      </w:r>
      <w:r>
        <w:t xml:space="preserve"> </w:t>
      </w:r>
      <w:r>
        <w:t xml:space="preserve">enable</w:t>
      </w:r>
      <w:r>
        <w:t xml:space="preserve"> </w:t>
      </w:r>
      <w:r>
        <w:t xml:space="preserve">re-use</w:t>
      </w:r>
      <w:r>
        <w:t xml:space="preserve"> </w:t>
      </w:r>
      <w:r>
        <w:t xml:space="preserve">of</w:t>
      </w:r>
      <w:r>
        <w:t xml:space="preserve"> </w:t>
      </w:r>
      <w:r>
        <w:t xml:space="preserve">the</w:t>
      </w:r>
      <w:r>
        <w:t xml:space="preserve"> </w:t>
      </w:r>
      <w:r>
        <w:t xml:space="preserve">data,</w:t>
      </w:r>
      <w:r>
        <w:t xml:space="preserve"> </w:t>
      </w:r>
      <w:r>
        <w:t xml:space="preserve">I</w:t>
      </w:r>
      <w:r>
        <w:t xml:space="preserve"> </w:t>
      </w:r>
      <w:r>
        <w:t xml:space="preserve">present</w:t>
      </w:r>
      <w:r>
        <w:t xml:space="preserve"> </w:t>
      </w:r>
      <w:r>
        <w:t xml:space="preserve">an</w:t>
      </w:r>
      <w:r>
        <w:t xml:space="preserve"> </w:t>
      </w:r>
      <w:r>
        <w:t xml:space="preserve">approach</w:t>
      </w:r>
      <w:r>
        <w:t xml:space="preserve"> </w:t>
      </w:r>
      <w:r>
        <w:t xml:space="preserve">to</w:t>
      </w:r>
      <w:r>
        <w:t xml:space="preserve"> </w:t>
      </w:r>
      <w:r>
        <w:t xml:space="preserve">collect,</w:t>
      </w:r>
      <w:r>
        <w:t xml:space="preserve"> </w:t>
      </w:r>
      <w:r>
        <w:t xml:space="preserve">aggregate</w:t>
      </w:r>
      <w:r>
        <w:t xml:space="preserve"> </w:t>
      </w:r>
      <w:r>
        <w:t xml:space="preserve">and</w:t>
      </w:r>
      <w:r>
        <w:t xml:space="preserve"> </w:t>
      </w:r>
      <w:r>
        <w:t xml:space="preserve">re-use</w:t>
      </w:r>
      <w:r>
        <w:t xml:space="preserve"> </w:t>
      </w: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in</w:t>
      </w:r>
      <w:r>
        <w:t xml:space="preserve"> </w:t>
      </w:r>
      <w:r>
        <w:t xml:space="preserve">a</w:t>
      </w:r>
      <w:r>
        <w:t xml:space="preserve"> </w:t>
      </w:r>
      <w:r>
        <w:t xml:space="preserve">practical</w:t>
      </w:r>
      <w:r>
        <w:t xml:space="preserve"> </w:t>
      </w:r>
      <w:r>
        <w:t xml:space="preserve">course</w:t>
      </w:r>
      <w:r>
        <w:t xml:space="preserve"> </w:t>
      </w:r>
      <w:r>
        <w:t xml:space="preserve">on</w:t>
      </w:r>
      <w:r>
        <w:t xml:space="preserve"> </w:t>
      </w:r>
      <w:r>
        <w:t xml:space="preserve">cell</w:t>
      </w:r>
      <w:r>
        <w:t xml:space="preserve"> </w:t>
      </w:r>
      <w:r>
        <w:t xml:space="preserve">biology.</w:t>
      </w:r>
      <w:r>
        <w:t xml:space="preserve"> </w:t>
      </w:r>
      <w:r>
        <w:t xml:space="preserve">The</w:t>
      </w:r>
      <w:r>
        <w:t xml:space="preserve"> </w:t>
      </w:r>
      <w:r>
        <w:t xml:space="preserve">course</w:t>
      </w:r>
      <w:r>
        <w:t xml:space="preserve"> </w:t>
      </w:r>
      <w:r>
        <w:t xml:space="preserve">runs</w:t>
      </w:r>
      <w:r>
        <w:t xml:space="preserve"> </w:t>
      </w:r>
      <w:r>
        <w:t xml:space="preserve">annually</w:t>
      </w:r>
      <w:r>
        <w:t xml:space="preserve"> </w:t>
      </w:r>
      <w:r>
        <w:t xml:space="preserve">and</w:t>
      </w:r>
      <w:r>
        <w:t xml:space="preserve"> </w:t>
      </w:r>
      <w:r>
        <w:t xml:space="preserve">I</w:t>
      </w:r>
      <w:r>
        <w:t xml:space="preserve"> </w:t>
      </w:r>
      <w:r>
        <w:t xml:space="preserve">have</w:t>
      </w:r>
      <w:r>
        <w:t xml:space="preserve"> </w:t>
      </w:r>
      <w:r>
        <w:t xml:space="preserve">recorded</w:t>
      </w:r>
      <w:r>
        <w:t xml:space="preserve"> </w:t>
      </w:r>
      <w:r>
        <w:t xml:space="preserve">the</w:t>
      </w:r>
      <w:r>
        <w:t xml:space="preserve"> </w:t>
      </w:r>
      <w:r>
        <w:t xml:space="preserve">data</w:t>
      </w:r>
      <w:r>
        <w:t xml:space="preserve"> </w:t>
      </w:r>
      <w:r>
        <w:t xml:space="preserve">that</w:t>
      </w:r>
      <w:r>
        <w:t xml:space="preserve"> </w:t>
      </w:r>
      <w:r>
        <w:t xml:space="preserve">was</w:t>
      </w:r>
      <w:r>
        <w:t xml:space="preserve"> </w:t>
      </w:r>
      <w:r>
        <w:t xml:space="preserve">generated</w:t>
      </w:r>
      <w:r>
        <w:t xml:space="preserve"> </w:t>
      </w:r>
      <w:r>
        <w:t xml:space="preserve">by</w:t>
      </w:r>
      <w:r>
        <w:t xml:space="preserve"> </w:t>
      </w:r>
      <w:r>
        <w:t xml:space="preserve">&gt;100</w:t>
      </w:r>
      <w:r>
        <w:t xml:space="preserve"> </w:t>
      </w:r>
      <w:r>
        <w:t xml:space="preserve">students</w:t>
      </w:r>
      <w:r>
        <w:t xml:space="preserve"> </w:t>
      </w:r>
      <w:r>
        <w:t xml:space="preserve">over</w:t>
      </w:r>
      <w:r>
        <w:t xml:space="preserve"> </w:t>
      </w:r>
      <w:r>
        <w:t xml:space="preserve">3</w:t>
      </w:r>
      <w:r>
        <w:t xml:space="preserve"> </w:t>
      </w:r>
      <w:r>
        <w:t xml:space="preserve">years.</w:t>
      </w:r>
      <w:r>
        <w:t xml:space="preserve"> </w:t>
      </w:r>
      <w:r>
        <w:t xml:space="preserve">Two</w:t>
      </w:r>
      <w:r>
        <w:t xml:space="preserve"> </w:t>
      </w:r>
      <w:r>
        <w:t xml:space="preserve">use-cases</w:t>
      </w:r>
      <w:r>
        <w:t xml:space="preserve"> </w:t>
      </w:r>
      <w:r>
        <w:t xml:space="preserve">illustrate</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aggregated</w:t>
      </w:r>
      <w:r>
        <w:t xml:space="preserve"> </w:t>
      </w:r>
      <w:r>
        <w:t xml:space="preserve">and</w:t>
      </w:r>
      <w:r>
        <w:t xml:space="preserve"> </w:t>
      </w:r>
      <w:r>
        <w:t xml:space="preserve">re-used</w:t>
      </w:r>
      <w:r>
        <w:t xml:space="preserve"> </w:t>
      </w:r>
      <w:r>
        <w:t xml:space="preserve">either</w:t>
      </w:r>
      <w:r>
        <w:t xml:space="preserve"> </w:t>
      </w:r>
      <w:r>
        <w:t xml:space="preserve">for</w:t>
      </w:r>
      <w:r>
        <w:t xml:space="preserve"> </w:t>
      </w:r>
      <w:r>
        <w:t xml:space="preserve">the</w:t>
      </w:r>
      <w:r>
        <w:t xml:space="preserve"> </w:t>
      </w:r>
      <w:r>
        <w:t xml:space="preserve">scientific</w:t>
      </w:r>
      <w:r>
        <w:t xml:space="preserve"> </w:t>
      </w:r>
      <w:r>
        <w:t xml:space="preserve">record</w:t>
      </w:r>
      <w:r>
        <w:t xml:space="preserve"> </w:t>
      </w:r>
      <w:r>
        <w:t xml:space="preserve">or</w:t>
      </w:r>
      <w:r>
        <w:t xml:space="preserve"> </w:t>
      </w:r>
      <w:r>
        <w:t xml:space="preserve">for</w:t>
      </w:r>
      <w:r>
        <w:t xml:space="preserve"> </w:t>
      </w:r>
      <w:r>
        <w:t xml:space="preserve">teaching.</w:t>
      </w:r>
      <w:r>
        <w:t xml:space="preserve"> </w:t>
      </w:r>
      <w:r>
        <w:t xml:space="preserve">As</w:t>
      </w:r>
      <w:r>
        <w:t xml:space="preserve"> </w:t>
      </w:r>
      <w:r>
        <w:t xml:space="preserve">the</w:t>
      </w:r>
      <w:r>
        <w:t xml:space="preserve"> </w:t>
      </w:r>
      <w:r>
        <w:t xml:space="preserve">data</w:t>
      </w:r>
      <w:r>
        <w:t xml:space="preserve"> </w:t>
      </w:r>
      <w:r>
        <w:t xml:space="preserve">is</w:t>
      </w:r>
      <w:r>
        <w:t xml:space="preserve"> </w:t>
      </w:r>
      <w:r>
        <w:t xml:space="preserve">obtained</w:t>
      </w:r>
      <w:r>
        <w:t xml:space="preserve"> </w:t>
      </w:r>
      <w:r>
        <w:t xml:space="preserve">by</w:t>
      </w:r>
      <w:r>
        <w:t xml:space="preserve"> </w:t>
      </w:r>
      <w:r>
        <w:t xml:space="preserve">different</w:t>
      </w:r>
      <w:r>
        <w:t xml:space="preserve"> </w:t>
      </w:r>
      <w:r>
        <w:t xml:space="preserve">students,</w:t>
      </w:r>
      <w:r>
        <w:t xml:space="preserve"> </w:t>
      </w:r>
      <w:r>
        <w:t xml:space="preserve">in</w:t>
      </w:r>
      <w:r>
        <w:t xml:space="preserve"> </w:t>
      </w:r>
      <w:r>
        <w:t xml:space="preserve">different</w:t>
      </w:r>
      <w:r>
        <w:t xml:space="preserve"> </w:t>
      </w:r>
      <w:r>
        <w:t xml:space="preserve">groups,</w:t>
      </w:r>
      <w:r>
        <w:t xml:space="preserve"> </w:t>
      </w:r>
      <w:r>
        <w:t xml:space="preserve">over</w:t>
      </w:r>
      <w:r>
        <w:t xml:space="preserve"> </w:t>
      </w:r>
      <w:r>
        <w:t xml:space="preserve">different</w:t>
      </w:r>
      <w:r>
        <w:t xml:space="preserve"> </w:t>
      </w:r>
      <w:r>
        <w:t xml:space="preserve">years,</w:t>
      </w:r>
      <w:r>
        <w:t xml:space="preserve"> </w:t>
      </w:r>
      <w:r>
        <w:t xml:space="preserve">it</w:t>
      </w:r>
      <w:r>
        <w:t xml:space="preserve"> </w:t>
      </w:r>
      <w:r>
        <w:t xml:space="preserve">is</w:t>
      </w:r>
      <w:r>
        <w:t xml:space="preserve"> </w:t>
      </w:r>
      <w:r>
        <w:t xml:space="preserve">an</w:t>
      </w:r>
      <w:r>
        <w:t xml:space="preserve"> </w:t>
      </w:r>
      <w:r>
        <w:t xml:space="preserve">excellent</w:t>
      </w:r>
      <w:r>
        <w:t xml:space="preserve"> </w:t>
      </w:r>
      <w:r>
        <w:t xml:space="preserve">opportunity</w:t>
      </w:r>
      <w:r>
        <w:t xml:space="preserve"> </w:t>
      </w:r>
      <w:r>
        <w:t xml:space="preserve">to</w:t>
      </w:r>
      <w:r>
        <w:t xml:space="preserve"> </w:t>
      </w:r>
      <w:r>
        <w:t xml:space="preserve">discuss</w:t>
      </w:r>
      <w:r>
        <w:t xml:space="preserve"> </w:t>
      </w:r>
      <w:r>
        <w:t xml:space="preserve">experimental</w:t>
      </w:r>
      <w:r>
        <w:t xml:space="preserve"> </w:t>
      </w:r>
      <w:r>
        <w:t xml:space="preserve">design</w:t>
      </w:r>
      <w:r>
        <w:t xml:space="preserve"> </w:t>
      </w:r>
      <w:r>
        <w:t xml:space="preserve">and</w:t>
      </w:r>
      <w:r>
        <w:t xml:space="preserve"> </w:t>
      </w:r>
      <w:r>
        <w:t xml:space="preserve">modern</w:t>
      </w:r>
      <w:r>
        <w:t xml:space="preserve"> </w:t>
      </w:r>
      <w:r>
        <w:t xml:space="preserve">data</w:t>
      </w:r>
      <w:r>
        <w:t xml:space="preserve"> </w:t>
      </w:r>
      <w:r>
        <w:t xml:space="preserve">visualization</w:t>
      </w:r>
      <w:r>
        <w:t xml:space="preserve"> </w:t>
      </w:r>
      <w:r>
        <w:t xml:space="preserve">methods</w:t>
      </w:r>
      <w:r>
        <w:t xml:space="preserve"> </w:t>
      </w:r>
      <w:r>
        <w:t xml:space="preserve">such</w:t>
      </w:r>
      <w:r>
        <w:t xml:space="preserve"> </w:t>
      </w:r>
      <w:r>
        <w:t xml:space="preserve">as</w:t>
      </w:r>
      <w:r>
        <w:t xml:space="preserve"> </w:t>
      </w:r>
      <w:r>
        <w:t xml:space="preserve">the</w:t>
      </w:r>
      <w:r>
        <w:t xml:space="preserve"> </w:t>
      </w:r>
      <w:r>
        <w:t xml:space="preserve">superplot.</w:t>
      </w:r>
      <w:r>
        <w:t xml:space="preserve"> </w:t>
      </w:r>
      <w:r>
        <w:t xml:space="preserve">The</w:t>
      </w:r>
      <w:r>
        <w:t xml:space="preserve"> </w:t>
      </w:r>
      <w:r>
        <w:t xml:space="preserve">first</w:t>
      </w:r>
      <w:r>
        <w:t xml:space="preserve"> </w:t>
      </w:r>
      <w:r>
        <w:t xml:space="preserve">use-case</w:t>
      </w:r>
      <w:r>
        <w:t xml:space="preserve"> </w:t>
      </w:r>
      <w:r>
        <w:t xml:space="preserve">demonstrates</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presented</w:t>
      </w:r>
      <w:r>
        <w:t xml:space="preserve"> </w:t>
      </w:r>
      <w:r>
        <w:t xml:space="preserve">as</w:t>
      </w:r>
      <w:r>
        <w:t xml:space="preserve"> </w:t>
      </w:r>
      <w:r>
        <w:t xml:space="preserve">an</w:t>
      </w:r>
      <w:r>
        <w:t xml:space="preserve"> </w:t>
      </w:r>
      <w:r>
        <w:t xml:space="preserve">online,</w:t>
      </w:r>
      <w:r>
        <w:t xml:space="preserve"> </w:t>
      </w:r>
      <w:r>
        <w:t xml:space="preserve">interactive</w:t>
      </w:r>
      <w:r>
        <w:t xml:space="preserve"> </w:t>
      </w:r>
      <w:r>
        <w:t xml:space="preserve">dashboard,</w:t>
      </w:r>
      <w:r>
        <w:t xml:space="preserve"> </w:t>
      </w:r>
      <w:r>
        <w:t xml:space="preserve">providing</w:t>
      </w:r>
      <w:r>
        <w:t xml:space="preserve"> </w:t>
      </w:r>
      <w:r>
        <w:t xml:space="preserve">real-time</w:t>
      </w:r>
      <w:r>
        <w:t xml:space="preserve"> </w:t>
      </w:r>
      <w:r>
        <w:t xml:space="preserve">data</w:t>
      </w:r>
      <w:r>
        <w:t xml:space="preserve"> </w:t>
      </w:r>
      <w:r>
        <w:t xml:space="preserve">of</w:t>
      </w:r>
      <w:r>
        <w:t xml:space="preserve"> </w:t>
      </w:r>
      <w:r>
        <w:t xml:space="preserve">the</w:t>
      </w:r>
      <w:r>
        <w:t xml:space="preserve"> </w:t>
      </w:r>
      <w:r>
        <w:t xml:space="preserve">measurements.</w:t>
      </w:r>
      <w:r>
        <w:t xml:space="preserve"> </w:t>
      </w:r>
      <w:r>
        <w:t xml:space="preserve">The</w:t>
      </w:r>
      <w:r>
        <w:t xml:space="preserve"> </w:t>
      </w:r>
      <w:r>
        <w:t xml:space="preserve">second</w:t>
      </w:r>
      <w:r>
        <w:t xml:space="preserve"> </w:t>
      </w:r>
      <w:r>
        <w:t xml:space="preserve">use-case</w:t>
      </w:r>
      <w:r>
        <w:t xml:space="preserve"> </w:t>
      </w:r>
      <w:r>
        <w:t xml:space="preserve">shows</w:t>
      </w:r>
      <w:r>
        <w:t xml:space="preserve"> </w:t>
      </w:r>
      <w:r>
        <w:t xml:space="preserve">how</w:t>
      </w:r>
      <w:r>
        <w:t xml:space="preserve"> </w:t>
      </w:r>
      <w:r>
        <w:t xml:space="preserve">central</w:t>
      </w:r>
      <w:r>
        <w:t xml:space="preserve"> </w:t>
      </w:r>
      <w:r>
        <w:t xml:space="preserve">data</w:t>
      </w:r>
      <w:r>
        <w:t xml:space="preserve"> </w:t>
      </w:r>
      <w:r>
        <w:t xml:space="preserve">storage</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get</w:t>
      </w:r>
      <w:r>
        <w:t xml:space="preserve"> </w:t>
      </w:r>
      <w:r>
        <w:t xml:space="preserve">precise</w:t>
      </w:r>
      <w:r>
        <w:t xml:space="preserve"> </w:t>
      </w:r>
      <w:r>
        <w:t xml:space="preserve">quantitative</w:t>
      </w:r>
      <w:r>
        <w:t xml:space="preserve"> </w:t>
      </w:r>
      <w:r>
        <w:t xml:space="preserve">data</w:t>
      </w:r>
      <w:r>
        <w:t xml:space="preserve"> </w:t>
      </w:r>
      <w:r>
        <w:t xml:space="preserve">due</w:t>
      </w:r>
      <w:r>
        <w:t xml:space="preserve"> </w:t>
      </w:r>
      <w:r>
        <w:t xml:space="preserve">to</w:t>
      </w:r>
      <w:r>
        <w:t xml:space="preserve"> </w:t>
      </w:r>
      <w:r>
        <w:t xml:space="preserve">the</w:t>
      </w:r>
      <w:r>
        <w:t xml:space="preserve"> </w:t>
      </w:r>
      <w:r>
        <w:t xml:space="preserve">large</w:t>
      </w:r>
      <w:r>
        <w:t xml:space="preserve"> </w:t>
      </w:r>
      <w:r>
        <w:t xml:space="preserve">sample</w:t>
      </w:r>
      <w:r>
        <w:t xml:space="preserve"> </w:t>
      </w:r>
      <w:r>
        <w:t xml:space="preserve">size.</w:t>
      </w:r>
      <w:r>
        <w:t xml:space="preserve"> </w:t>
      </w:r>
      <w:r>
        <w:t xml:space="preserve">Both</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data</w:t>
      </w:r>
      <w:r>
        <w:t xml:space="preserve"> </w:t>
      </w:r>
      <w:r>
        <w:t xml:space="preserve">can</w:t>
      </w:r>
      <w:r>
        <w:t xml:space="preserve"> </w:t>
      </w:r>
      <w:r>
        <w:t xml:space="preserve">be</w:t>
      </w:r>
      <w:r>
        <w:t xml:space="preserve"> </w:t>
      </w:r>
      <w:r>
        <w:t xml:space="preserve">effectively</w:t>
      </w:r>
      <w:r>
        <w:t xml:space="preserve"> </w:t>
      </w:r>
      <w:r>
        <w:t xml:space="preserve">aggregated</w:t>
      </w:r>
      <w:r>
        <w:t xml:space="preserve"> </w:t>
      </w:r>
      <w:r>
        <w:t xml:space="preserve">and</w:t>
      </w:r>
      <w:r>
        <w:t xml:space="preserve"> </w:t>
      </w:r>
      <w:r>
        <w:t xml:space="preserve">re-used.</w:t>
      </w:r>
    </w:p>
    <w:bookmarkStart w:id="20" w:name="sec-introduction"/>
    <w:p>
      <w:pPr>
        <w:pStyle w:val="Heading2"/>
      </w:pPr>
      <w:r>
        <w:t xml:space="preserve">Introduction</w:t>
      </w:r>
    </w:p>
    <w:p>
      <w:pPr>
        <w:pStyle w:val="FirstParagraph"/>
      </w:pPr>
      <w:r>
        <w:t xml:space="preserve">Teaching practical skills in a lab course is a crucial part of education in biology, biomedical science, and life sciences. In these lab courses data is generated, reported and interpreted, much like</w:t>
      </w:r>
      <w:r>
        <w:t xml:space="preserve"> </w:t>
      </w:r>
      <w:r>
        <w:rPr>
          <w:iCs/>
          <w:i/>
        </w:rPr>
        <w:t xml:space="preserve">real</w:t>
      </w:r>
      <w:r>
        <w:t xml:space="preserve"> </w:t>
      </w:r>
      <w:r>
        <w:t xml:space="preserve">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w:t>
      </w:r>
    </w:p>
    <w:p>
      <w:pPr>
        <w:pStyle w:val="BodyText"/>
      </w:pPr>
      <w:r>
        <w:t xml:space="preserve">Microscopy is an essential tool in cell biology. The use of microscopes to observe cells and organisms has changed from a qualitative, descriptive approach, into a quantitative method</w:t>
      </w:r>
      <w:r>
        <w:t xml:space="preserve"> </w:t>
      </w:r>
      <w:r>
        <w:t xml:space="preserve">(Senft et al. 2023; Renz 2013; Wait, Reiche, and Chew 2020; Waters 2009)</w:t>
      </w:r>
      <w:r>
        <w:t xml:space="preserve">. The development of digital cameras and image analysis software has catalyzed this transition</w:t>
      </w:r>
      <w:r>
        <w:t xml:space="preserve"> </w:t>
      </w:r>
      <w:r>
        <w:t xml:space="preserve">(Carpenter 2007)</w:t>
      </w:r>
      <w:r>
        <w:t xml:space="preserve">.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w:t>
      </w:r>
      <w:r>
        <w:t xml:space="preserve"> </w:t>
      </w:r>
      <w:r>
        <w:t xml:space="preserve">(Schneider, Rasband, and Eliceiri 2012)</w:t>
      </w:r>
      <w:r>
        <w:t xml:space="preserve">. In a typical year, over one hundred students are enrolled in this course and therefore, a substantial amount of data is generated in the course.</w:t>
      </w:r>
    </w:p>
    <w:p>
      <w:pPr>
        <w:pStyle w:val="BodyText"/>
      </w:pPr>
      <w:r>
        <w:t xml:space="preserve">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bookmarkEnd w:id="20"/>
    <w:bookmarkStart w:id="33" w:name="sec-data-methods"/>
    <w:p>
      <w:pPr>
        <w:pStyle w:val="Heading2"/>
      </w:pPr>
      <w:r>
        <w:t xml:space="preserve">Methods</w:t>
      </w:r>
    </w:p>
    <w:p>
      <w:pPr>
        <w:pStyle w:val="FirstParagraph"/>
      </w:pPr>
      <w:r>
        <w:t xml:space="preserve">For full reproducibility, this document is written using Quarto (Posit,</w:t>
      </w:r>
      <w:r>
        <w:t xml:space="preserve"> </w:t>
      </w:r>
      <w:hyperlink r:id="rId21">
        <w:r>
          <w:rPr>
            <w:rStyle w:val="Hyperlink"/>
          </w:rPr>
          <w:t xml:space="preserve">https://quarto.org/</w:t>
        </w:r>
      </w:hyperlink>
      <w:r>
        <w:t xml:space="preserve">), and the source code of the manuscript and the notebooks, and the data are availble in a repository:</w:t>
      </w:r>
      <w:r>
        <w:t xml:space="preserve"> </w:t>
      </w:r>
      <w:hyperlink r:id="rId22">
        <w:r>
          <w:rPr>
            <w:rStyle w:val="Hyperlink"/>
          </w:rPr>
          <w:t xml:space="preserve">https://github.com/JoachimGoedhart/MS-StudentSourcing</w:t>
        </w:r>
      </w:hyperlink>
      <w:r>
        <w:t xml:space="preserve">. A version rendered as HTML is avalaible and it provides easy access to the notebooks as well:</w:t>
      </w:r>
      <w:r>
        <w:t xml:space="preserve"> </w:t>
      </w:r>
      <w:hyperlink r:id="rId23">
        <w:r>
          <w:rPr>
            <w:rStyle w:val="Hyperlink"/>
          </w:rPr>
          <w:t xml:space="preserve">https://joachimgoedhart.github.io/MS-StudentSourcing/</w:t>
        </w:r>
      </w:hyperlink>
    </w:p>
    <w:bookmarkStart w:id="31" w:name="use-case-1"/>
    <w:p>
      <w:pPr>
        <w:pStyle w:val="Heading3"/>
      </w:pPr>
      <w:r>
        <w:t xml:space="preserve">Use case 1</w:t>
      </w:r>
    </w:p>
    <w:p>
      <w:pPr>
        <w:pStyle w:val="FirstParagraph"/>
      </w:pPr>
      <w:r>
        <w:rPr>
          <w:iCs/>
          <w:i/>
        </w:rPr>
        <w:t xml:space="preserve">Sample preparation and measurements</w:t>
      </w:r>
    </w:p>
    <w:p>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x 22 mm). The sample is used immediately to observe the cells with a Leica microscope, equipped with a Lumenera camera. A 20x or 40x objective is used to observe and image the cells. A separate image of a micrometer (</w:t>
      </w:r>
      <w:hyperlink r:id="rId24">
        <w:r>
          <w:rPr>
            <w:rStyle w:val="Hyperlink"/>
          </w:rPr>
          <w:t xml:space="preserve">Electron Microscopy Sciences 6804208, Stage Micrometer S8, Horizontal Scale, 1 mm Length</w:t>
        </w:r>
      </w:hyperlink>
      <w:r>
        <w:t xml:space="preserve">) is acquired at the same magnification. The images are processed in ImageJ/FIJI and the dimensions of the images are calibrated with the micrometer image (</w:t>
      </w:r>
      <w:hyperlink w:anchor="fig-students-side">
        <w:r>
          <w:rPr>
            <w:rStyle w:val="Hyperlink"/>
          </w:rPr>
          <w:t xml:space="preserve">Figure 1</w:t>
        </w:r>
      </w:hyperlink>
      <w:r>
        <w:t xml:space="preserve">). The line tool is used to measure the diameter of the cells (the longest axis).</w:t>
      </w:r>
    </w:p>
    <w:p>
      <w:pPr>
        <w:pStyle w:val="BodyText"/>
      </w:pPr>
      <w:r>
        <w:rPr>
          <w:iCs/>
          <w:i/>
        </w:rPr>
        <w:t xml:space="preserve">Data collection</w:t>
      </w:r>
    </w:p>
    <w:p>
      <w:pPr>
        <w:pStyle w:val="BodyText"/>
      </w:pPr>
      <w:r>
        <w:t xml:space="preserve">The data of the measurements is collected through a Google Form, an example of which is shown in</w:t>
      </w:r>
      <w:r>
        <w:t xml:space="preserve"> </w:t>
      </w:r>
      <w:hyperlink w:anchor="fig-students-side">
        <w:r>
          <w:rPr>
            <w:rStyle w:val="Hyperlink"/>
          </w:rPr>
          <w:t xml:space="preserve">Figure 1</w:t>
        </w:r>
      </w:hyperlink>
      <w:r>
        <w:t xml:space="preserve">. 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type="pct" w:w="5000"/>
        <w:tblLook w:firstRow="0" w:lastRow="0" w:firstColumn="0" w:lastColumn="0" w:noHBand="0" w:noVBand="0" w:val="0000"/>
        <w:jc w:val="start"/>
      </w:tblPr>
      <w:tblGrid>
        <w:gridCol w:w="7920"/>
      </w:tblGrid>
      <w:tr>
        <w:tc>
          <w:tcPr/>
          <w:bookmarkStart w:id="28" w:name="fig-students-side"/>
          <w:p>
            <w:pPr>
              <w:jc w:val="center"/>
            </w:pPr>
            <w:r>
              <w:drawing>
                <wp:inline>
                  <wp:extent cx="5334000" cy="3000375"/>
                  <wp:effectExtent b="0" l="0" r="0" t="0"/>
                  <wp:docPr descr="" title="" id="26" name="Picture"/>
                  <a:graphic>
                    <a:graphicData uri="http://schemas.openxmlformats.org/drawingml/2006/picture">
                      <pic:pic>
                        <pic:nvPicPr>
                          <pic:cNvPr descr="images/Students-side.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steps taken by the students to acquire and upload their data. The size of cells is measured by microscopy, the data is processed and recorded in their lab journal and finally, the data are uploaded by a Google form</w:t>
            </w:r>
          </w:p>
          <w:bookmarkEnd w:id="28"/>
        </w:tc>
      </w:tr>
    </w:tbl>
    <w:p>
      <w:pPr>
        <w:pStyle w:val="BodyText"/>
      </w:pPr>
      <w:r>
        <w:rPr>
          <w:iCs/>
          <w:i/>
        </w:rPr>
        <w:t xml:space="preserve">Data processing</w:t>
      </w:r>
    </w:p>
    <w:p>
      <w:pPr>
        <w:pStyle w:val="BodyText"/>
      </w:pPr>
      <w:r>
        <w:t xml:space="preserve">The data that is in the Google Sheet can be downloaded and read into R as a CSV. All subsequent processing and data visualisation and presentation in dashboard style is done in R. The code is available on Github:</w:t>
      </w:r>
      <w:r>
        <w:t xml:space="preserve"> </w:t>
      </w:r>
      <w:hyperlink r:id="rId29">
        <w:r>
          <w:rPr>
            <w:rStyle w:val="Hyperlink"/>
          </w:rPr>
          <w:t xml:space="preserve">https://github.com/JoachimGoedhart/CellSizeR</w:t>
        </w:r>
      </w:hyperlink>
      <w:r>
        <w:t xml:space="preserve">. The cleaning of the data consist of removing empty cells, changing the column names, listing all individual measurements in a single row,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0-1000 will be removed). A detailed protocol that explains the processing is available as protocol 10</w:t>
      </w:r>
      <w:r>
        <w:t xml:space="preserve"> </w:t>
      </w:r>
      <w:r>
        <w:t xml:space="preserve">(Goedhart 2022)</w:t>
      </w:r>
      <w:r>
        <w:t xml:space="preserve">.</w:t>
      </w:r>
    </w:p>
    <w:p>
      <w:pPr>
        <w:pStyle w:val="BodyText"/>
      </w:pPr>
      <w:r>
        <w:rPr>
          <w:iCs/>
          <w:i/>
        </w:rPr>
        <w:t xml:space="preserve">Data visualisation</w:t>
      </w:r>
    </w:p>
    <w:p>
      <w:pPr>
        <w:pStyle w:val="BodyText"/>
      </w:pPr>
      <w:r>
        <w:t xml:space="preserve">A dashboard is composed in R Markdown with the</w:t>
      </w:r>
      <w:r>
        <w:t xml:space="preserve"> </w:t>
      </w:r>
      <w:r>
        <w:rPr>
          <w:rStyle w:val="VerbatimChar"/>
        </w:rPr>
        <w:t xml:space="preserve">{flexdashboard}</w:t>
      </w:r>
      <w:r>
        <w:t xml:space="preserve"> </w:t>
      </w:r>
      <w:r>
        <w:t xml:space="preserve">package. The code is available here:</w:t>
      </w:r>
      <w:r>
        <w:t xml:space="preserve"> </w:t>
      </w:r>
      <w:hyperlink r:id="rId29">
        <w:r>
          <w:rPr>
            <w:rStyle w:val="Hyperlink"/>
          </w:rPr>
          <w:t xml:space="preserve">https://github.com/JoachimGoedhart/CellSizeR</w:t>
        </w:r>
      </w:hyperlink>
      <w:r>
        <w:t xml:space="preserve"> </w:t>
      </w:r>
      <w:r>
        <w:t xml:space="preserve">and the live dashboard is available online:</w:t>
      </w:r>
      <w:r>
        <w:t xml:space="preserve"> </w:t>
      </w:r>
      <w:hyperlink r:id="rId30">
        <w:r>
          <w:rPr>
            <w:rStyle w:val="Hyperlink"/>
          </w:rPr>
          <w:t xml:space="preserve">https://amsterdamstudygroup.shinyapps.io/CellSizeR/</w:t>
        </w:r>
      </w:hyperlink>
    </w:p>
    <w:bookmarkEnd w:id="31"/>
    <w:bookmarkStart w:id="32" w:name="use-case-2"/>
    <w:p>
      <w:pPr>
        <w:pStyle w:val="Heading3"/>
      </w:pPr>
      <w:r>
        <w:t xml:space="preserve">Use case 2</w:t>
      </w:r>
    </w:p>
    <w:p>
      <w:pPr>
        <w:pStyle w:val="FirstParagraph"/>
      </w:pPr>
      <w:r>
        <w:rPr>
          <w:iCs/>
          <w:i/>
        </w:rPr>
        <w:t xml:space="preserve">Sample preparation and measurements</w:t>
      </w:r>
    </w:p>
    <w:p>
      <w:pPr>
        <w:pStyle w:val="BodyText"/>
      </w:pPr>
      <w:r>
        <w:t xml:space="preserve">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 xml:space="preserve">4</w:t>
      </w:r>
      <w:r>
        <w:t xml:space="preserve">.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 Images of at least 100 cells are acquired with the DAPI and TRITC filters sets. The nuclei in both channels are counted by hand, or in an automated way by segmentation and</w:t>
      </w:r>
      <w:r>
        <w:t xml:space="preserve"> </w:t>
      </w:r>
      <w:r>
        <w:t xml:space="preserve">‘</w:t>
      </w:r>
      <w:r>
        <w:t xml:space="preserve">particle analysis</w:t>
      </w:r>
      <w:r>
        <w:t xml:space="preserve">’</w:t>
      </w:r>
      <w:r>
        <w:t xml:space="preserve"> </w:t>
      </w:r>
      <w:r>
        <w:t xml:space="preserve">in imageJ to calculate the percentage of cells that are positive for Cy3 fluorescence, reflecting cells in the S-phase.</w:t>
      </w:r>
    </w:p>
    <w:p>
      <w:pPr>
        <w:pStyle w:val="BodyText"/>
      </w:pPr>
      <w:r>
        <w:rPr>
          <w:iCs/>
          <w:i/>
        </w:rPr>
        <w:t xml:space="preserve">Data collection</w:t>
      </w:r>
    </w:p>
    <w:p>
      <w:pPr>
        <w:pStyle w:val="BodyText"/>
      </w:pPr>
      <w:r>
        <w:t xml:space="preserve">The data of the measurements is collected on voluntary basis through a Google Form.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pPr>
        <w:pStyle w:val="BodyText"/>
      </w:pPr>
      <w:r>
        <w:rPr>
          <w:iCs/>
          <w:i/>
        </w:rPr>
        <w:t xml:space="preserve">Data processing &amp; visualization</w:t>
      </w:r>
    </w:p>
    <w:p>
      <w:pPr>
        <w:pStyle w:val="BodyText"/>
      </w:pPr>
      <w:r>
        <w:t xml:space="preserve">The data that is in the Google Sheet can be downloaded and read into R</w:t>
      </w:r>
      <w:r>
        <w:t xml:space="preserve"> </w:t>
      </w:r>
      <w:r>
        <w:t xml:space="preserve">(R Core Team 2022)</w:t>
      </w:r>
      <w:r>
        <w:t xml:space="preserve"> </w:t>
      </w:r>
      <w:r>
        <w:t xml:space="preserve">as a CSV. All subsequent processing and data visualization is done with R and quarto. The cleaning of the data consists of removing empty cells, changing the column names, conversion to a tidy format,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 will be removed).</w:t>
      </w:r>
    </w:p>
    <w:bookmarkEnd w:id="32"/>
    <w:bookmarkEnd w:id="33"/>
    <w:bookmarkStart w:id="55" w:name="sec-results"/>
    <w:p>
      <w:pPr>
        <w:pStyle w:val="Heading2"/>
      </w:pPr>
      <w:r>
        <w:t xml:space="preserve">Results</w:t>
      </w:r>
    </w:p>
    <w:bookmarkStart w:id="43" w:name="Xa3dd0a162680c6863eb02a0092db8b9692db794"/>
    <w:p>
      <w:pPr>
        <w:pStyle w:val="Heading3"/>
      </w:pPr>
      <w:r>
        <w:t xml:space="preserve">Use case 1: Comparing new results with historical data</w:t>
      </w:r>
    </w:p>
    <w:p>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the data are uploaded with a Google form. Each sample is an independent observation as it originates from a unique human specimen. To evaluate their results, the students can compare their own data with the historical data that is displayed on an online, interactive dashboard:</w:t>
      </w:r>
      <w:r>
        <w:t xml:space="preserve"> </w:t>
      </w:r>
      <w:hyperlink r:id="rId30">
        <w:r>
          <w:rPr>
            <w:rStyle w:val="Hyperlink"/>
          </w:rPr>
          <w:t xml:space="preserve">https://amsterdamstudygroup.shinyapps.io/CellSizeR/</w:t>
        </w:r>
      </w:hyperlink>
      <w:r>
        <w:t xml:space="preserve">. A snapshot of the dashboard is shown in</w:t>
      </w:r>
      <w:r>
        <w:t xml:space="preserve"> </w:t>
      </w:r>
      <w:hyperlink w:anchor="fig-dashboard">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dashboard"/>
          <w:p>
            <w:pPr>
              <w:jc w:val="center"/>
            </w:pPr>
            <w:r>
              <w:drawing>
                <wp:inline>
                  <wp:extent cx="5334000" cy="3986588"/>
                  <wp:effectExtent b="0" l="0" r="0" t="0"/>
                  <wp:docPr descr="" title="" id="35" name="Picture"/>
                  <a:graphic>
                    <a:graphicData uri="http://schemas.openxmlformats.org/drawingml/2006/picture">
                      <pic:pic>
                        <pic:nvPicPr>
                          <pic:cNvPr descr="images/Dashboard_230828.png" id="36" name="Picture"/>
                          <pic:cNvPicPr>
                            <a:picLocks noChangeArrowheads="1" noChangeAspect="1"/>
                          </pic:cNvPicPr>
                        </pic:nvPicPr>
                        <pic:blipFill>
                          <a:blip r:embed="rId34"/>
                          <a:stretch>
                            <a:fillRect/>
                          </a:stretch>
                        </pic:blipFill>
                        <pic:spPr bwMode="auto">
                          <a:xfrm>
                            <a:off x="0" y="0"/>
                            <a:ext cx="5334000" cy="39865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Screenshot of the dashboard that summarized the data on human cheek cell size measurements. The dashboard also displays the total number of entries and other metadata.</w:t>
            </w:r>
          </w:p>
          <w:bookmarkEnd w:id="37"/>
        </w:tc>
      </w:tr>
    </w:tbl>
    <w:p>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w:t>
      </w:r>
      <w:r>
        <w:t xml:space="preserve"> </w:t>
      </w:r>
      <w:hyperlink w:anchor="fig-dashboard">
        <w:r>
          <w:rPr>
            <w:rStyle w:val="Hyperlink"/>
          </w:rPr>
          <w:t xml:space="preserve">Figure 2</w:t>
        </w:r>
      </w:hyperlink>
      <w:r>
        <w:t xml:space="preserve">). The dashboard also shows the data for the 4 different groups and the size distribution of the cells by violin plots.</w:t>
      </w:r>
    </w:p>
    <w:p>
      <w:pPr>
        <w:pStyle w:val="BodyText"/>
      </w:pPr>
      <w:r>
        <w:t xml:space="preserve">The histogram on the dashboard is the primary data that is useful for the students. It visualizes the distribution of individual data for both the cell and the nucleus. Since the sizes vary susbtantially, the data can be shown on a log-scale as well (</w:t>
      </w:r>
      <w:hyperlink w:anchor="fig-histogram">
        <w:r>
          <w:rPr>
            <w:rStyle w:val="Hyperlink"/>
          </w:rPr>
          <w:t xml:space="preserve">Figure 3</w:t>
        </w:r>
      </w:hyperlink>
      <w:r>
        <w:t xml:space="preserve">). The main reason that the measurements differ by an order of magnitude, is that the size measurement requires correct calibration of the field of view with a micro ruler. When the calibration is done incorrectly, this will affect the accuracy of the measurement, usually by an order of magnitude.</w:t>
      </w:r>
    </w:p>
    <w:tbl>
      <w:tblPr>
        <w:tblStyle w:val="Table"/>
        <w:tblW w:type="pct" w:w="5000"/>
        <w:tblLook w:firstRow="0" w:lastRow="0" w:firstColumn="0" w:lastColumn="0" w:noHBand="0" w:noVBand="0" w:val="0000"/>
        <w:jc w:val="start"/>
      </w:tblPr>
      <w:tblGrid>
        <w:gridCol w:w="7920"/>
      </w:tblGrid>
      <w:tr>
        <w:tc>
          <w:tcPr/>
          <w:bookmarkStart w:id="42" w:name="fig-histogram"/>
          <w:p>
            <w:pPr>
              <w:jc w:val="center"/>
            </w:pPr>
            <w:r>
              <w:drawing>
                <wp:inline>
                  <wp:extent cx="5334000" cy="3810000"/>
                  <wp:effectExtent b="0" l="0" r="0" t="0"/>
                  <wp:docPr descr="" title="" id="39" name="Picture"/>
                  <a:graphic>
                    <a:graphicData uri="http://schemas.openxmlformats.org/drawingml/2006/picture">
                      <pic:pic>
                        <pic:nvPicPr>
                          <pic:cNvPr descr="index_files/figure-docx/fig-histogram-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 measured size of human cheek cells and their nucleus. Data from three years. Source:</w:t>
            </w:r>
            <w:r>
              <w:t xml:space="preserve"> </w:t>
            </w:r>
            <w:hyperlink r:id="rId41">
              <w:r>
                <w:rPr>
                  <w:rStyle w:val="Hyperlink"/>
                </w:rPr>
                <w:t xml:space="preserve">Summarizing the size of cells</w:t>
              </w:r>
            </w:hyperlink>
          </w:p>
          <w:bookmarkEnd w:id="42"/>
        </w:tc>
      </w:tr>
    </w:tbl>
    <w:p>
      <w:pPr>
        <w:pStyle w:val="BodyText"/>
      </w:pPr>
      <w:r>
        <w:t xml:space="preserve">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bookmarkEnd w:id="43"/>
    <w:bookmarkStart w:id="54" w:name="Xfe27607b21980653a2d1984f6ffa23a7333e195"/>
    <w:p>
      <w:pPr>
        <w:pStyle w:val="Heading3"/>
      </w:pPr>
      <w:r>
        <w:t xml:space="preserve">Use case 2: Determination of the percentage of cells in S-phase</w:t>
      </w:r>
    </w:p>
    <w:p>
      <w:pPr>
        <w:pStyle w:val="FirstParagraph"/>
      </w:pPr>
      <w:r>
        <w:t xml:space="preserve">The aim of the experiment is is to determine the number of cells, as percentage, that are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analysis methods, manual and automated, is paired and can be visualised by a doplot in which the pairs of the data are connected (</w:t>
      </w:r>
      <w:hyperlink w:anchor="fig-paired-data">
        <w:r>
          <w:rPr>
            <w:rStyle w:val="Hyperlink"/>
          </w:rPr>
          <w:t xml:space="preserve">Figure 4</w:t>
        </w:r>
      </w:hyperlink>
      <w:r>
        <w:t xml:space="preserve">).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type="pct" w:w="5000"/>
        <w:tblLook w:firstRow="0" w:lastRow="0" w:firstColumn="0" w:lastColumn="0" w:noHBand="0" w:noVBand="0" w:val="0000"/>
        <w:jc w:val="start"/>
      </w:tblPr>
      <w:tblGrid>
        <w:gridCol w:w="7920"/>
      </w:tblGrid>
      <w:tr>
        <w:tc>
          <w:tcPr/>
          <w:bookmarkStart w:id="48" w:name="fig-paired-data"/>
          <w:p>
            <w:pPr>
              <w:jc w:val="center"/>
            </w:pPr>
            <w:r>
              <w:drawing>
                <wp:inline>
                  <wp:extent cx="5334000" cy="3810000"/>
                  <wp:effectExtent b="0" l="0" r="0" t="0"/>
                  <wp:docPr descr="" title="" id="45" name="Picture"/>
                  <a:graphic>
                    <a:graphicData uri="http://schemas.openxmlformats.org/drawingml/2006/picture">
                      <pic:pic>
                        <pic:nvPicPr>
                          <pic:cNvPr descr="index_files/figure-docx/fig-paired-data-output-1.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Comparing the manual and automated analysis. Source:</w:t>
            </w:r>
            <w:r>
              <w:t xml:space="preserve"> </w:t>
            </w:r>
            <w:hyperlink r:id="rId47">
              <w:r>
                <w:rPr>
                  <w:rStyle w:val="Hyperlink"/>
                </w:rPr>
                <w:t xml:space="preserve">The percentage of cells in the S-phase</w:t>
              </w:r>
            </w:hyperlink>
          </w:p>
          <w:bookmarkEnd w:id="48"/>
        </w:tc>
      </w:tr>
    </w:tbl>
    <w:p>
      <w:pPr>
        <w:pStyle w:val="BodyText"/>
      </w:pPr>
      <w:r>
        <w:t xml:space="preserve">There is increasing attention on effects of experimental design on data analysis and visualization. The recently proposed superplot to distinguish biological and technical replicates is an intuitive and straightforward way to communicate the design</w:t>
      </w:r>
      <w:r>
        <w:t xml:space="preserve"> </w:t>
      </w:r>
      <w:r>
        <w:t xml:space="preserve">(Lord et al. 2020)</w:t>
      </w:r>
      <w:r>
        <w:t xml:space="preserve">.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 xml:space="preserve">Figure 5</w:t>
        </w:r>
      </w:hyperlink>
      <w:r>
        <w:t xml:space="preserve">), it can be observed that we received multiple submissions per group, leading to a precise measurement per group. The median values range from 23% to 44%. The average value of the independent observations is 36.7% [N=12, 95%CI = 33.0%-40.3%].</w:t>
      </w:r>
    </w:p>
    <w:tbl>
      <w:tblPr>
        <w:tblStyle w:val="Table"/>
        <w:tblW w:type="pct" w:w="5000"/>
        <w:tblLook w:firstRow="0" w:lastRow="0" w:firstColumn="0" w:lastColumn="0" w:noHBand="0" w:noVBand="0" w:val="0000"/>
        <w:jc w:val="start"/>
      </w:tblPr>
      <w:tblGrid>
        <w:gridCol w:w="7920"/>
      </w:tblGrid>
      <w:tr>
        <w:tc>
          <w:tcPr/>
          <w:bookmarkStart w:id="53" w:name="fig-superplot"/>
          <w:p>
            <w:pPr>
              <w:jc w:val="center"/>
            </w:pPr>
            <w:r>
              <w:drawing>
                <wp:inline>
                  <wp:extent cx="5334000" cy="3810000"/>
                  <wp:effectExtent b="0" l="0" r="0" t="0"/>
                  <wp:docPr descr="" title="" id="50" name="Picture"/>
                  <a:graphic>
                    <a:graphicData uri="http://schemas.openxmlformats.org/drawingml/2006/picture">
                      <pic:pic>
                        <pic:nvPicPr>
                          <pic:cNvPr descr="index_files/figure-docx/fig-superplot-output-2.png" id="51"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Data on the percentage of cells in e S-phase based on manual analysis. Each group &amp; year defines an independent observations and is shown as dotplot and the distribution. The larger dot reflects the median value. Source:</w:t>
            </w:r>
            <w:r>
              <w:t xml:space="preserve"> </w:t>
            </w:r>
            <w:hyperlink r:id="rId52">
              <w:r>
                <w:rPr>
                  <w:rStyle w:val="Hyperlink"/>
                </w:rPr>
                <w:t xml:space="preserve">The percentage of cells in the S-phase</w:t>
              </w:r>
            </w:hyperlink>
          </w:p>
          <w:bookmarkEnd w:id="53"/>
        </w:tc>
      </w:tr>
    </w:tbl>
    <w:bookmarkEnd w:id="54"/>
    <w:bookmarkEnd w:id="55"/>
    <w:bookmarkStart w:id="58" w:name="sec-conclusion"/>
    <w:p>
      <w:pPr>
        <w:pStyle w:val="Heading2"/>
      </w:pPr>
      <w:r>
        <w:t xml:space="preserve">Conclusion</w:t>
      </w:r>
    </w:p>
    <w:p>
      <w:pPr>
        <w:pStyle w:val="FirstParagraph"/>
      </w:pPr>
      <w:r>
        <w:t xml:space="preserve">Data that is generated in courses is often recorded by individual students or groups of students in reports. However, it can be valuable and interesting to collect and use these data. Here, I present a flexible and open-source approach to collect and display data from a large group of students and over several years. A combination of Google Forms/Sheets for data collection and R for data processing and visualization is used. In the first use case, a R Markdown template is used to process and visualize the data. In the second use case, the data is displayed in dashboard style. The code is available and can be used as a starting point for the processing and visualization of other datasets.</w:t>
      </w:r>
    </w:p>
    <w:p>
      <w:pPr>
        <w:pStyle w:val="BodyText"/>
      </w:pPr>
      <w:r>
        <w:t xml:space="preserve">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w:t>
      </w:r>
      <w:r>
        <w:t xml:space="preserve"> </w:t>
      </w:r>
      <w:r>
        <w:t xml:space="preserve">(Sailem, Cooper, and Bakal 2016)</w:t>
      </w:r>
      <w:r>
        <w:t xml:space="preserve">. The use cases described in this paper deal with these aspects.</w:t>
      </w:r>
    </w:p>
    <w:p>
      <w:pPr>
        <w:pStyle w:val="BodyText"/>
      </w:pPr>
      <w:r>
        <w:t xml:space="preserve">The aggregation of the data inevitably leads to a discussion on experimental design, as this is important to establish whether measurements are independent or not. This aspect of experimental design has received attention over the last years</w:t>
      </w:r>
      <w:r>
        <w:t xml:space="preserve"> </w:t>
      </w:r>
      <w:r>
        <w:t xml:space="preserve">(Aarts et al. 2015; Sikkel et al. 2017; Eisner 2021)</w:t>
      </w:r>
      <w:r>
        <w:t xml:space="preserve"> </w:t>
      </w:r>
      <w:r>
        <w:t xml:space="preserve">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w:t>
      </w:r>
      <w:r>
        <w:t xml:space="preserve"> </w:t>
      </w:r>
      <w:r>
        <w:t xml:space="preserve">(Lazic, Clarke-Williams, and Munafò 2018)</w:t>
      </w:r>
      <w:r>
        <w:t xml:space="preserve">.</w:t>
      </w:r>
    </w:p>
    <w:p>
      <w:pPr>
        <w:pStyle w:val="BodyText"/>
      </w:pPr>
      <w:r>
        <w:t xml:space="preserve">In conclusion, I feel it is valuable to collect data from practical courses and here we report one way to achieve that. I hope that serves as a starting point for others that want to collect, store and use data from large groups of students.</w:t>
      </w:r>
    </w:p>
    <w:bookmarkStart w:id="57" w:name="acknowledgments"/>
    <w:p>
      <w:pPr>
        <w:pStyle w:val="Heading3"/>
      </w:pPr>
      <w:r>
        <w:t xml:space="preserve">Acknowledgments</w:t>
      </w:r>
    </w:p>
    <w:p>
      <w:pPr>
        <w:pStyle w:val="FirstParagraph"/>
      </w:pPr>
      <w:r>
        <w:t xml:space="preserve">A</w:t>
      </w:r>
      <w:r>
        <w:t xml:space="preserve"> </w:t>
      </w:r>
      <w:hyperlink r:id="rId56">
        <w:r>
          <w:rPr>
            <w:rStyle w:val="Hyperlink"/>
          </w:rPr>
          <w:t xml:space="preserve">blog post by Garrick Aden-Buie</w:t>
        </w:r>
      </w:hyperlink>
      <w:r>
        <w:t xml:space="preserve"> </w:t>
      </w:r>
      <w:r>
        <w:t xml:space="preserve">was very helpful in the initial phase of this project. Many thanks to the people involved in Quarto, which was used to write and shape this paper. Most importantly, I’d like to thank all students involved in the course that have generously shared their data, making this a successful project.</w:t>
      </w:r>
    </w:p>
    <w:bookmarkEnd w:id="57"/>
    <w:bookmarkEnd w:id="58"/>
    <w:bookmarkStart w:id="88" w:name="references"/>
    <w:p>
      <w:pPr>
        <w:pStyle w:val="Heading2"/>
      </w:pPr>
      <w:r>
        <w:t xml:space="preserve">References</w:t>
      </w:r>
    </w:p>
    <w:bookmarkStart w:id="87" w:name="refs"/>
    <w:bookmarkStart w:id="60" w:name="ref-Aarts2015"/>
    <w:p>
      <w:pPr>
        <w:pStyle w:val="Bibliography"/>
      </w:pPr>
      <w:r>
        <w:t xml:space="preserve">Aarts, Emmeke, Conor V. Dolan, Matthijs Verhage, and Sophie van der Sluis. 2015.</w:t>
      </w:r>
      <w:r>
        <w:t xml:space="preserve"> </w:t>
      </w:r>
      <w:r>
        <w:t xml:space="preserve">“Multilevel Analysis Quantifies Variation in the Experimental Effect While Optimizing Power and Preventing False Positives.”</w:t>
      </w:r>
      <w:r>
        <w:t xml:space="preserve"> </w:t>
      </w:r>
      <w:r>
        <w:rPr>
          <w:iCs/>
          <w:i/>
        </w:rPr>
        <w:t xml:space="preserve">BMC Neuroscience</w:t>
      </w:r>
      <w:r>
        <w:t xml:space="preserve"> </w:t>
      </w:r>
      <w:r>
        <w:t xml:space="preserve">16 (1).</w:t>
      </w:r>
      <w:r>
        <w:t xml:space="preserve"> </w:t>
      </w:r>
      <w:hyperlink r:id="rId59">
        <w:r>
          <w:rPr>
            <w:rStyle w:val="Hyperlink"/>
          </w:rPr>
          <w:t xml:space="preserve">https://doi.org/10.1186/s12868-015-0228-5</w:t>
        </w:r>
      </w:hyperlink>
      <w:r>
        <w:t xml:space="preserve">.</w:t>
      </w:r>
    </w:p>
    <w:bookmarkEnd w:id="60"/>
    <w:bookmarkStart w:id="62" w:name="ref-carpenter2007"/>
    <w:p>
      <w:pPr>
        <w:pStyle w:val="Bibliography"/>
      </w:pPr>
      <w:r>
        <w:t xml:space="preserve">Carpenter, Anne E. 2007.</w:t>
      </w:r>
      <w:r>
        <w:t xml:space="preserve"> </w:t>
      </w:r>
      <w:r>
        <w:t xml:space="preserve">“Software Opens the Door to Quantitative Imaging.”</w:t>
      </w:r>
      <w:r>
        <w:t xml:space="preserve"> </w:t>
      </w:r>
      <w:r>
        <w:rPr>
          <w:iCs/>
          <w:i/>
        </w:rPr>
        <w:t xml:space="preserve">Nature Methods</w:t>
      </w:r>
      <w:r>
        <w:t xml:space="preserve"> </w:t>
      </w:r>
      <w:r>
        <w:t xml:space="preserve">4 (2): 120–21.</w:t>
      </w:r>
      <w:r>
        <w:t xml:space="preserve"> </w:t>
      </w:r>
      <w:hyperlink r:id="rId61">
        <w:r>
          <w:rPr>
            <w:rStyle w:val="Hyperlink"/>
          </w:rPr>
          <w:t xml:space="preserve">https://doi.org/10.1038/nmeth0207-120</w:t>
        </w:r>
      </w:hyperlink>
      <w:r>
        <w:t xml:space="preserve">.</w:t>
      </w:r>
    </w:p>
    <w:bookmarkEnd w:id="62"/>
    <w:bookmarkStart w:id="64" w:name="ref-eisner2021"/>
    <w:p>
      <w:pPr>
        <w:pStyle w:val="Bibliography"/>
      </w:pPr>
      <w:r>
        <w:t xml:space="preserve">Eisner, David A. 2021.</w:t>
      </w:r>
      <w:r>
        <w:t xml:space="preserve"> </w:t>
      </w:r>
      <w:r>
        <w:t xml:space="preserve">“Pseudoreplication in Physiology: More Means Less.”</w:t>
      </w:r>
      <w:r>
        <w:t xml:space="preserve"> </w:t>
      </w:r>
      <w:r>
        <w:rPr>
          <w:iCs/>
          <w:i/>
        </w:rPr>
        <w:t xml:space="preserve">Journal of General Physiology</w:t>
      </w:r>
      <w:r>
        <w:t xml:space="preserve"> </w:t>
      </w:r>
      <w:r>
        <w:t xml:space="preserve">153 (2).</w:t>
      </w:r>
      <w:r>
        <w:t xml:space="preserve"> </w:t>
      </w:r>
      <w:hyperlink r:id="rId63">
        <w:r>
          <w:rPr>
            <w:rStyle w:val="Hyperlink"/>
          </w:rPr>
          <w:t xml:space="preserve">https://doi.org/10.1085/jgp.202012826</w:t>
        </w:r>
      </w:hyperlink>
      <w:r>
        <w:t xml:space="preserve">.</w:t>
      </w:r>
    </w:p>
    <w:bookmarkEnd w:id="64"/>
    <w:bookmarkStart w:id="66" w:name="ref-goedhart2022"/>
    <w:p>
      <w:pPr>
        <w:pStyle w:val="Bibliography"/>
      </w:pPr>
      <w:r>
        <w:t xml:space="preserve">Goedhart, Joachim. 2022.</w:t>
      </w:r>
      <w:r>
        <w:t xml:space="preserve"> </w:t>
      </w:r>
      <w:r>
        <w:rPr>
          <w:iCs/>
          <w:i/>
        </w:rPr>
        <w:t xml:space="preserve">DataViz Protocols - an Introduction to Data Visualization Protocols for Wet Lab Scientists</w:t>
      </w:r>
      <w:r>
        <w:t xml:space="preserve">. Zenodo.</w:t>
      </w:r>
      <w:r>
        <w:t xml:space="preserve"> </w:t>
      </w:r>
      <w:hyperlink r:id="rId65">
        <w:r>
          <w:rPr>
            <w:rStyle w:val="Hyperlink"/>
          </w:rPr>
          <w:t xml:space="preserve">https://doi.org/10.5281/ZENODO.7257808</w:t>
        </w:r>
      </w:hyperlink>
      <w:r>
        <w:t xml:space="preserve">.</w:t>
      </w:r>
    </w:p>
    <w:bookmarkEnd w:id="66"/>
    <w:bookmarkStart w:id="68" w:name="ref-lazic2018"/>
    <w:p>
      <w:pPr>
        <w:pStyle w:val="Bibliography"/>
      </w:pPr>
      <w:r>
        <w:t xml:space="preserve">Lazic, Stanley E., Charlie J. Clarke-Williams, and Marcus R. Munafò. 2018.</w:t>
      </w:r>
      <w:r>
        <w:t xml:space="preserve"> </w:t>
      </w:r>
      <w:r>
        <w:t xml:space="preserve">“What Exactly Is</w:t>
      </w:r>
      <w:r>
        <w:t xml:space="preserve"> </w:t>
      </w:r>
      <w:r>
        <w:t xml:space="preserve">‘</w:t>
      </w:r>
      <w:r>
        <w:t xml:space="preserve">N</w:t>
      </w:r>
      <w:r>
        <w:t xml:space="preserve">’</w:t>
      </w:r>
      <w:r>
        <w:t xml:space="preserve"> </w:t>
      </w:r>
      <w:r>
        <w:t xml:space="preserve">in Cell Culture and Animal Experiments?”</w:t>
      </w:r>
      <w:r>
        <w:t xml:space="preserve"> </w:t>
      </w:r>
      <w:r>
        <w:rPr>
          <w:iCs/>
          <w:i/>
        </w:rPr>
        <w:t xml:space="preserve">PLOS Biology</w:t>
      </w:r>
      <w:r>
        <w:t xml:space="preserve"> </w:t>
      </w:r>
      <w:r>
        <w:t xml:space="preserve">16 (4): e2005282.</w:t>
      </w:r>
      <w:r>
        <w:t xml:space="preserve"> </w:t>
      </w:r>
      <w:hyperlink r:id="rId67">
        <w:r>
          <w:rPr>
            <w:rStyle w:val="Hyperlink"/>
          </w:rPr>
          <w:t xml:space="preserve">https://doi.org/10.1371/journal.pbio.2005282</w:t>
        </w:r>
      </w:hyperlink>
      <w:r>
        <w:t xml:space="preserve">.</w:t>
      </w:r>
    </w:p>
    <w:bookmarkEnd w:id="68"/>
    <w:bookmarkStart w:id="70" w:name="ref-lord2020"/>
    <w:p>
      <w:pPr>
        <w:pStyle w:val="Bibliography"/>
      </w:pPr>
      <w:r>
        <w:t xml:space="preserve">Lord, Samuel J., Katrina B. Velle, R. Dyche Mullins, and Lillian K. Fritz-Laylin. 2020.</w:t>
      </w:r>
      <w:r>
        <w:t xml:space="preserve"> </w:t>
      </w:r>
      <w:r>
        <w:t xml:space="preserve">“SuperPlots: Communicating Reproducibility and Variability in Cell Biology.”</w:t>
      </w:r>
      <w:r>
        <w:t xml:space="preserve"> </w:t>
      </w:r>
      <w:r>
        <w:rPr>
          <w:iCs/>
          <w:i/>
        </w:rPr>
        <w:t xml:space="preserve">Journal of Cell Biology</w:t>
      </w:r>
      <w:r>
        <w:t xml:space="preserve"> </w:t>
      </w:r>
      <w:r>
        <w:t xml:space="preserve">219 (6).</w:t>
      </w:r>
      <w:r>
        <w:t xml:space="preserve"> </w:t>
      </w:r>
      <w:hyperlink r:id="rId69">
        <w:r>
          <w:rPr>
            <w:rStyle w:val="Hyperlink"/>
          </w:rPr>
          <w:t xml:space="preserve">https://doi.org/10.1083/jcb.202001064</w:t>
        </w:r>
      </w:hyperlink>
      <w:r>
        <w:t xml:space="preserve">.</w:t>
      </w:r>
    </w:p>
    <w:bookmarkEnd w:id="70"/>
    <w:bookmarkStart w:id="72" w:name="ref-RCor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71">
        <w:r>
          <w:rPr>
            <w:rStyle w:val="Hyperlink"/>
          </w:rPr>
          <w:t xml:space="preserve">https://www.R-project.org/</w:t>
        </w:r>
      </w:hyperlink>
      <w:r>
        <w:t xml:space="preserve">.</w:t>
      </w:r>
    </w:p>
    <w:bookmarkEnd w:id="72"/>
    <w:bookmarkStart w:id="74" w:name="ref-renz2013"/>
    <w:p>
      <w:pPr>
        <w:pStyle w:val="Bibliography"/>
      </w:pPr>
      <w:r>
        <w:t xml:space="preserve">Renz, Malte. 2013.</w:t>
      </w:r>
      <w:r>
        <w:t xml:space="preserve"> </w:t>
      </w:r>
      <w:r>
        <w:t xml:space="preserve">“Fluorescence Microscopy-A Historical and Technical Perspective.”</w:t>
      </w:r>
      <w:r>
        <w:t xml:space="preserve"> </w:t>
      </w:r>
      <w:r>
        <w:rPr>
          <w:iCs/>
          <w:i/>
        </w:rPr>
        <w:t xml:space="preserve">Cytometry Part A</w:t>
      </w:r>
      <w:r>
        <w:t xml:space="preserve"> </w:t>
      </w:r>
      <w:r>
        <w:t xml:space="preserve">83 (9): 767–79.</w:t>
      </w:r>
      <w:r>
        <w:t xml:space="preserve"> </w:t>
      </w:r>
      <w:hyperlink r:id="rId73">
        <w:r>
          <w:rPr>
            <w:rStyle w:val="Hyperlink"/>
          </w:rPr>
          <w:t xml:space="preserve">https://doi.org/10.1002/cyto.a.22295</w:t>
        </w:r>
      </w:hyperlink>
      <w:r>
        <w:t xml:space="preserve">.</w:t>
      </w:r>
    </w:p>
    <w:bookmarkEnd w:id="74"/>
    <w:bookmarkStart w:id="76" w:name="ref-sailem2016"/>
    <w:p>
      <w:pPr>
        <w:pStyle w:val="Bibliography"/>
      </w:pPr>
      <w:r>
        <w:t xml:space="preserve">Sailem, Heba Z., Sam Cooper, and Chris Bakal. 2016.</w:t>
      </w:r>
      <w:r>
        <w:t xml:space="preserve"> </w:t>
      </w:r>
      <w:r>
        <w:t xml:space="preserve">“Visualizing Quantitative Microscopy Data: History and Challenges.”</w:t>
      </w:r>
      <w:r>
        <w:t xml:space="preserve"> </w:t>
      </w:r>
      <w:r>
        <w:rPr>
          <w:iCs/>
          <w:i/>
        </w:rPr>
        <w:t xml:space="preserve">Critical Reviews in Biochemistry and Molecular Biology</w:t>
      </w:r>
      <w:r>
        <w:t xml:space="preserve"> </w:t>
      </w:r>
      <w:r>
        <w:t xml:space="preserve">51 (2): 96–101.</w:t>
      </w:r>
      <w:r>
        <w:t xml:space="preserve"> </w:t>
      </w:r>
      <w:hyperlink r:id="rId75">
        <w:r>
          <w:rPr>
            <w:rStyle w:val="Hyperlink"/>
          </w:rPr>
          <w:t xml:space="preserve">https://doi.org/10.3109/10409238.2016.1146222</w:t>
        </w:r>
      </w:hyperlink>
      <w:r>
        <w:t xml:space="preserve">.</w:t>
      </w:r>
    </w:p>
    <w:bookmarkEnd w:id="76"/>
    <w:bookmarkStart w:id="78" w:name="ref-schneider2012"/>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r>
        <w:t xml:space="preserve"> </w:t>
      </w:r>
      <w:hyperlink r:id="rId77">
        <w:r>
          <w:rPr>
            <w:rStyle w:val="Hyperlink"/>
          </w:rPr>
          <w:t xml:space="preserve">https://doi.org/10.1038/nmeth.2089</w:t>
        </w:r>
      </w:hyperlink>
      <w:r>
        <w:t xml:space="preserve">.</w:t>
      </w:r>
    </w:p>
    <w:bookmarkEnd w:id="78"/>
    <w:bookmarkStart w:id="80" w:name="ref-senft2023"/>
    <w:p>
      <w:pPr>
        <w:pStyle w:val="Bibliography"/>
      </w:pPr>
      <w:r>
        <w:t xml:space="preserve">Senft, Rebecca A., Barbara Diaz-Rohrer, Pina Colarusso, Lucy Swift, Nasim Jamali, Helena Jambor, Thomas Pengo, et al. 2023.</w:t>
      </w:r>
      <w:r>
        <w:t xml:space="preserve"> </w:t>
      </w:r>
      <w:r>
        <w:t xml:space="preserve">“A Biologist</w:t>
      </w:r>
      <w:r>
        <w:t xml:space="preserve">’</w:t>
      </w:r>
      <w:r>
        <w:t xml:space="preserve">s Guide to Planning and Performing Quantitative Bioimaging Experiments.”</w:t>
      </w:r>
      <w:r>
        <w:t xml:space="preserve"> </w:t>
      </w:r>
      <w:r>
        <w:rPr>
          <w:iCs/>
          <w:i/>
        </w:rPr>
        <w:t xml:space="preserve">PLOS Biology</w:t>
      </w:r>
      <w:r>
        <w:t xml:space="preserve"> </w:t>
      </w:r>
      <w:r>
        <w:t xml:space="preserve">21 (6): e3002167.</w:t>
      </w:r>
      <w:r>
        <w:t xml:space="preserve"> </w:t>
      </w:r>
      <w:hyperlink r:id="rId79">
        <w:r>
          <w:rPr>
            <w:rStyle w:val="Hyperlink"/>
          </w:rPr>
          <w:t xml:space="preserve">https://doi.org/10.1371/journal.pbio.3002167</w:t>
        </w:r>
      </w:hyperlink>
      <w:r>
        <w:t xml:space="preserve">.</w:t>
      </w:r>
    </w:p>
    <w:bookmarkEnd w:id="80"/>
    <w:bookmarkStart w:id="82" w:name="ref-sikkel2017"/>
    <w:p>
      <w:pPr>
        <w:pStyle w:val="Bibliography"/>
      </w:pPr>
      <w:r>
        <w:t xml:space="preserve">Sikkel, Markus B, Darrel P Francis, James Howard, Fabiana Gordon, Christina Rowlands, Nicholas S Peters, Alexander R Lyon, Sian E Harding, and Kenneth T MacLeod. 2017.</w:t>
      </w:r>
      <w:r>
        <w:t xml:space="preserve"> </w:t>
      </w:r>
      <w:r>
        <w:t xml:space="preserve">“Hierarchical Statistical Techniques Are Necessary to Draw Reliable Conclusions from Analysis of Isolated Cardiomyocyte Studies.”</w:t>
      </w:r>
      <w:r>
        <w:t xml:space="preserve"> </w:t>
      </w:r>
      <w:r>
        <w:rPr>
          <w:iCs/>
          <w:i/>
        </w:rPr>
        <w:t xml:space="preserve">Cardiovascular Research</w:t>
      </w:r>
      <w:r>
        <w:t xml:space="preserve"> </w:t>
      </w:r>
      <w:r>
        <w:t xml:space="preserve">113 (14): 1743–52.</w:t>
      </w:r>
      <w:r>
        <w:t xml:space="preserve"> </w:t>
      </w:r>
      <w:hyperlink r:id="rId81">
        <w:r>
          <w:rPr>
            <w:rStyle w:val="Hyperlink"/>
          </w:rPr>
          <w:t xml:space="preserve">https://doi.org/10.1093/cvr/cvx151</w:t>
        </w:r>
      </w:hyperlink>
      <w:r>
        <w:t xml:space="preserve">.</w:t>
      </w:r>
    </w:p>
    <w:bookmarkEnd w:id="82"/>
    <w:bookmarkStart w:id="84" w:name="ref-wait2020"/>
    <w:p>
      <w:pPr>
        <w:pStyle w:val="Bibliography"/>
      </w:pPr>
      <w:r>
        <w:t xml:space="preserve">Wait, Eric C., Michael A. Reiche, and Teng-Leong Chew. 2020.</w:t>
      </w:r>
      <w:r>
        <w:t xml:space="preserve"> </w:t>
      </w:r>
      <w:r>
        <w:t xml:space="preserve">“Hypothesis-Driven Quantitative Fluorescence Microscopy</w:t>
      </w:r>
      <w:r>
        <w:t xml:space="preserve"> </w:t>
      </w:r>
      <w:r>
        <w:t xml:space="preserve"> </w:t>
      </w:r>
      <w:r>
        <w:t xml:space="preserve">the Importance of Reverse-Thinking in Experimental Design.”</w:t>
      </w:r>
      <w:r>
        <w:t xml:space="preserve"> </w:t>
      </w:r>
      <w:r>
        <w:rPr>
          <w:iCs/>
          <w:i/>
        </w:rPr>
        <w:t xml:space="preserve">Journal of Cell Science</w:t>
      </w:r>
      <w:r>
        <w:t xml:space="preserve"> </w:t>
      </w:r>
      <w:r>
        <w:t xml:space="preserve">133 (21).</w:t>
      </w:r>
      <w:r>
        <w:t xml:space="preserve"> </w:t>
      </w:r>
      <w:hyperlink r:id="rId83">
        <w:r>
          <w:rPr>
            <w:rStyle w:val="Hyperlink"/>
          </w:rPr>
          <w:t xml:space="preserve">https://doi.org/10.1242/jcs.250027</w:t>
        </w:r>
      </w:hyperlink>
      <w:r>
        <w:t xml:space="preserve">.</w:t>
      </w:r>
    </w:p>
    <w:bookmarkEnd w:id="84"/>
    <w:bookmarkStart w:id="86" w:name="ref-waters2009"/>
    <w:p>
      <w:pPr>
        <w:pStyle w:val="Bibliography"/>
      </w:pPr>
      <w:r>
        <w:t xml:space="preserve">Waters, Jennifer C. 2009.</w:t>
      </w:r>
      <w:r>
        <w:t xml:space="preserve"> </w:t>
      </w:r>
      <w:r>
        <w:t xml:space="preserve">“Accuracy and Precision in Quantitative Fluorescence Microscopy.”</w:t>
      </w:r>
      <w:r>
        <w:t xml:space="preserve"> </w:t>
      </w:r>
      <w:r>
        <w:rPr>
          <w:iCs/>
          <w:i/>
        </w:rPr>
        <w:t xml:space="preserve">Journal of Cell Biology</w:t>
      </w:r>
      <w:r>
        <w:t xml:space="preserve"> </w:t>
      </w:r>
      <w:r>
        <w:t xml:space="preserve">185 (7): 1135–48.</w:t>
      </w:r>
      <w:r>
        <w:t xml:space="preserve"> </w:t>
      </w:r>
      <w:hyperlink r:id="rId85">
        <w:r>
          <w:rPr>
            <w:rStyle w:val="Hyperlink"/>
          </w:rPr>
          <w:t xml:space="preserve">https://doi.org/10.1083/jcb.200903097</w:t>
        </w:r>
      </w:hyperlink>
      <w:r>
        <w:t xml:space="preserve">.</w:t>
      </w:r>
    </w:p>
    <w:bookmarkEnd w:id="86"/>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41" Target="https://JoachimGoedhart.github.io/MS-StudentSourcing/notebooks/CellSizeR-preview.html#cell-fig-histogram" TargetMode="External" /><Relationship Type="http://schemas.openxmlformats.org/officeDocument/2006/relationships/hyperlink" Id="rId47" Target="https://JoachimGoedhart.github.io/MS-StudentSourcing/notebooks/PreciSe-preview.html#cell-fig-paired-data" TargetMode="External" /><Relationship Type="http://schemas.openxmlformats.org/officeDocument/2006/relationships/hyperlink" Id="rId52" Target="https://JoachimGoedhart.github.io/MS-StudentSourcing/notebooks/PreciSe-preview.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73" Target="https://doi.org/10.1002/cyto.a.22295" TargetMode="External" /><Relationship Type="http://schemas.openxmlformats.org/officeDocument/2006/relationships/hyperlink" Id="rId77" Target="https://doi.org/10.1038/nmeth.2089" TargetMode="External" /><Relationship Type="http://schemas.openxmlformats.org/officeDocument/2006/relationships/hyperlink" Id="rId61" Target="https://doi.org/10.1038/nmeth0207-120" TargetMode="External" /><Relationship Type="http://schemas.openxmlformats.org/officeDocument/2006/relationships/hyperlink" Id="rId85" Target="https://doi.org/10.1083/jcb.200903097" TargetMode="External" /><Relationship Type="http://schemas.openxmlformats.org/officeDocument/2006/relationships/hyperlink" Id="rId69" Target="https://doi.org/10.1083/jcb.202001064" TargetMode="External" /><Relationship Type="http://schemas.openxmlformats.org/officeDocument/2006/relationships/hyperlink" Id="rId63" Target="https://doi.org/10.1085/jgp.202012826" TargetMode="External" /><Relationship Type="http://schemas.openxmlformats.org/officeDocument/2006/relationships/hyperlink" Id="rId81" Target="https://doi.org/10.1093/cvr/cvx151" TargetMode="External" /><Relationship Type="http://schemas.openxmlformats.org/officeDocument/2006/relationships/hyperlink" Id="rId59" Target="https://doi.org/10.1186/s12868-015-0228-5" TargetMode="External" /><Relationship Type="http://schemas.openxmlformats.org/officeDocument/2006/relationships/hyperlink" Id="rId83" Target="https://doi.org/10.1242/jcs.250027" TargetMode="External" /><Relationship Type="http://schemas.openxmlformats.org/officeDocument/2006/relationships/hyperlink" Id="rId67" Target="https://doi.org/10.1371/journal.pbio.2005282" TargetMode="External" /><Relationship Type="http://schemas.openxmlformats.org/officeDocument/2006/relationships/hyperlink" Id="rId79" Target="https://doi.org/10.1371/journal.pbio.3002167" TargetMode="External" /><Relationship Type="http://schemas.openxmlformats.org/officeDocument/2006/relationships/hyperlink" Id="rId75" Target="https://doi.org/10.3109/10409238.2016.1146222" TargetMode="External" /><Relationship Type="http://schemas.openxmlformats.org/officeDocument/2006/relationships/hyperlink" Id="rId65" Target="https://doi.org/10.5281/ZENODO.7257808"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71"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56" Target="https://www.garrickadenbuie.com/blog/use-google-forms-and-r-to-track-data-easily/" TargetMode="External" /></Relationships>
</file>

<file path=word/_rels/footnotes.xml.rels><?xml version="1.0" encoding="UTF-8"?><Relationships xmlns="http://schemas.openxmlformats.org/package/2006/relationships"><Relationship Type="http://schemas.openxmlformats.org/officeDocument/2006/relationships/hyperlink" Id="rId41" Target="https://JoachimGoedhart.github.io/MS-StudentSourcing/notebooks/CellSizeR-preview.html#cell-fig-histogram" TargetMode="External" /><Relationship Type="http://schemas.openxmlformats.org/officeDocument/2006/relationships/hyperlink" Id="rId47" Target="https://JoachimGoedhart.github.io/MS-StudentSourcing/notebooks/PreciSe-preview.html#cell-fig-paired-data" TargetMode="External" /><Relationship Type="http://schemas.openxmlformats.org/officeDocument/2006/relationships/hyperlink" Id="rId52" Target="https://JoachimGoedhart.github.io/MS-StudentSourcing/notebooks/PreciSe-preview.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73" Target="https://doi.org/10.1002/cyto.a.22295" TargetMode="External" /><Relationship Type="http://schemas.openxmlformats.org/officeDocument/2006/relationships/hyperlink" Id="rId77" Target="https://doi.org/10.1038/nmeth.2089" TargetMode="External" /><Relationship Type="http://schemas.openxmlformats.org/officeDocument/2006/relationships/hyperlink" Id="rId61" Target="https://doi.org/10.1038/nmeth0207-120" TargetMode="External" /><Relationship Type="http://schemas.openxmlformats.org/officeDocument/2006/relationships/hyperlink" Id="rId85" Target="https://doi.org/10.1083/jcb.200903097" TargetMode="External" /><Relationship Type="http://schemas.openxmlformats.org/officeDocument/2006/relationships/hyperlink" Id="rId69" Target="https://doi.org/10.1083/jcb.202001064" TargetMode="External" /><Relationship Type="http://schemas.openxmlformats.org/officeDocument/2006/relationships/hyperlink" Id="rId63" Target="https://doi.org/10.1085/jgp.202012826" TargetMode="External" /><Relationship Type="http://schemas.openxmlformats.org/officeDocument/2006/relationships/hyperlink" Id="rId81" Target="https://doi.org/10.1093/cvr/cvx151" TargetMode="External" /><Relationship Type="http://schemas.openxmlformats.org/officeDocument/2006/relationships/hyperlink" Id="rId59" Target="https://doi.org/10.1186/s12868-015-0228-5" TargetMode="External" /><Relationship Type="http://schemas.openxmlformats.org/officeDocument/2006/relationships/hyperlink" Id="rId83" Target="https://doi.org/10.1242/jcs.250027" TargetMode="External" /><Relationship Type="http://schemas.openxmlformats.org/officeDocument/2006/relationships/hyperlink" Id="rId67" Target="https://doi.org/10.1371/journal.pbio.2005282" TargetMode="External" /><Relationship Type="http://schemas.openxmlformats.org/officeDocument/2006/relationships/hyperlink" Id="rId79" Target="https://doi.org/10.1371/journal.pbio.3002167" TargetMode="External" /><Relationship Type="http://schemas.openxmlformats.org/officeDocument/2006/relationships/hyperlink" Id="rId75" Target="https://doi.org/10.3109/10409238.2016.1146222" TargetMode="External" /><Relationship Type="http://schemas.openxmlformats.org/officeDocument/2006/relationships/hyperlink" Id="rId65" Target="https://doi.org/10.5281/ZENODO.7257808"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71"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56" Target="https://www.garrickadenbuie.com/blog/use-google-forms-and-r-to-track-data-eas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dcterms:created xsi:type="dcterms:W3CDTF">2023-08-28T13:09:39Z</dcterms:created>
  <dcterms:modified xsi:type="dcterms:W3CDTF">2023-08-28T13:09:39Z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that is generated by students during a course is often lost as there is no central, structured storage of those data. The loss of data prevents its re-use. To enable re-use of the data, I present an approach to collect, aggregate and re-use data that is generated by students in a practical course on cell biology. The course runs annually and I have recorded the data that was generated by &gt;100 students over 3 years. Two use-cases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use-case demonstrates how the data can be presented as an online, interactive dashboard, providing real-time data of the measurements. The second use-case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2023-08-28</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