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https://claude.ai/share/b4039db9-90d7-4850-ada9-db861a59c3cf</w:t>
        </w:r>
      </w:hyperlink>
      <w:r w:rsidDel="00000000" w:rsidR="00000000" w:rsidRPr="00000000">
        <w:rPr>
          <w:rtl w:val="0"/>
        </w:rPr>
        <w:t xml:space="preserve"> NO ANDA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https://claude.ai/share/6c4151c5-6e85-4821-be47-30695f00ed6e</w:t>
        </w:r>
      </w:hyperlink>
      <w:r w:rsidDel="00000000" w:rsidR="00000000" w:rsidRPr="00000000">
        <w:rPr>
          <w:rtl w:val="0"/>
        </w:rPr>
        <w:t xml:space="preserve"> ESTA SI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laude.ai/share/b4039db9-90d7-4850-ada9-db861a59c3cf" TargetMode="External"/><Relationship Id="rId7" Type="http://schemas.openxmlformats.org/officeDocument/2006/relationships/hyperlink" Target="https://claude.ai/share/6c4151c5-6e85-4821-be47-30695f00ed6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