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EcoOrganiza: un pedido que puede cambiar el futuro de la empresa</w:t>
      </w:r>
    </w:p>
    <w:p>
      <w:r>
        <w:t>Taller de Planificación de Recursos Empresariales (TREE) · 4.° C Contabilidad · profesor Rafael Castro Martínez · Instituto Superior de Comercio de Chillán</w:t>
        <w:br/>
        <w:t>Integrantes: Joaquín Verdejo y ____________________ (pareja)</w:t>
      </w:r>
    </w:p>
    <w:p>
      <w:pPr>
        <w:pStyle w:val="Heading2"/>
      </w:pPr>
      <w:r>
        <w:t>1. Diagnóstico (12 puntos)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7"/>
              </w:rPr>
              <w:t>Problema</w:t>
            </w:r>
          </w:p>
        </w:tc>
        <w:tc>
          <w:tcPr>
            <w:tcW w:type="dxa" w:w="2493"/>
          </w:tcPr>
          <w:p>
            <w:r>
              <w:rPr>
                <w:b/>
                <w:sz w:val="17"/>
              </w:rPr>
              <w:t>Consecuencia</w:t>
            </w:r>
          </w:p>
        </w:tc>
        <w:tc>
          <w:tcPr>
            <w:tcW w:type="dxa" w:w="2493"/>
          </w:tcPr>
          <w:p>
            <w:r>
              <w:rPr>
                <w:b/>
                <w:sz w:val="17"/>
              </w:rPr>
              <w:t>Función</w:t>
            </w:r>
          </w:p>
        </w:tc>
        <w:tc>
          <w:tcPr>
            <w:tcW w:type="dxa" w:w="2493"/>
          </w:tcPr>
          <w:p>
            <w:r>
              <w:rPr>
                <w:b/>
                <w:sz w:val="17"/>
              </w:rPr>
              <w:t>Fundamento</w:t>
            </w:r>
          </w:p>
        </w:tc>
      </w:tr>
      <w:tr>
        <w:tc>
          <w:tcPr>
            <w:tcW w:type="dxa" w:w="2493"/>
          </w:tcPr>
          <w:p>
            <w:r>
              <w:rPr>
                <w:sz w:val="17"/>
              </w:rPr>
              <w:t>Compra materiales cuando se agotan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Paros y compras urgentes; pedidos tarde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Planificación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No se anticipa lo que se necesita.</w:t>
            </w:r>
          </w:p>
        </w:tc>
      </w:tr>
      <w:tr>
        <w:tc>
          <w:tcPr>
            <w:tcW w:type="dxa" w:w="2493"/>
          </w:tcPr>
          <w:p>
            <w:r>
              <w:rPr>
                <w:sz w:val="17"/>
              </w:rPr>
              <w:t>No define metas ni responsables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Nadie responde por los resultados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Organización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Organizar es asignar tareas y responsables.</w:t>
            </w:r>
          </w:p>
        </w:tc>
      </w:tr>
      <w:tr>
        <w:tc>
          <w:tcPr>
            <w:tcW w:type="dxa" w:w="2493"/>
          </w:tcPr>
          <w:p>
            <w:r>
              <w:rPr>
                <w:sz w:val="17"/>
              </w:rPr>
              <w:t>Duplica tareas por instrucciones poco claras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Horas perdidas y atrasos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Dirección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Dirigir es comunicar y coordinar.</w:t>
            </w:r>
          </w:p>
        </w:tc>
      </w:tr>
      <w:tr>
        <w:tc>
          <w:tcPr>
            <w:tcW w:type="dxa" w:w="2493"/>
          </w:tcPr>
          <w:p>
            <w:r>
              <w:rPr>
                <w:sz w:val="17"/>
              </w:rPr>
              <w:t>Revisa costos solo al cierre; no compara alternativas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Detecta los errores tarde y decide sin cifras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Control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Controlar es comparar lo real con lo planificado a tiempo.</w:t>
            </w:r>
          </w:p>
        </w:tc>
      </w:tr>
    </w:tbl>
    <w:p>
      <w:pPr>
        <w:pStyle w:val="Heading2"/>
      </w:pPr>
      <w:r>
        <w:t>2. Presupuesto habitual: 600 unidades (20 puntos)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7"/>
              </w:rPr>
              <w:t>Concepto</w:t>
            </w:r>
          </w:p>
        </w:tc>
        <w:tc>
          <w:tcPr>
            <w:tcW w:type="dxa" w:w="3324"/>
          </w:tcPr>
          <w:p>
            <w:r>
              <w:rPr>
                <w:b/>
                <w:sz w:val="17"/>
              </w:rPr>
              <w:t>Cálculo</w:t>
            </w:r>
          </w:p>
        </w:tc>
        <w:tc>
          <w:tcPr>
            <w:tcW w:type="dxa" w:w="3324"/>
          </w:tcPr>
          <w:p>
            <w:r>
              <w:rPr>
                <w:b/>
                <w:sz w:val="17"/>
              </w:rPr>
              <w:t>Monto</w:t>
            </w:r>
          </w:p>
        </w:tc>
      </w:tr>
      <w:tr>
        <w:tc>
          <w:tcPr>
            <w:tcW w:type="dxa" w:w="3324"/>
          </w:tcPr>
          <w:p>
            <w:r>
              <w:rPr>
                <w:sz w:val="17"/>
              </w:rPr>
              <w:t>Costo variable unitario</w:t>
            </w:r>
          </w:p>
        </w:tc>
        <w:tc>
          <w:tcPr>
            <w:tcW w:type="dxa" w:w="3324"/>
          </w:tcPr>
          <w:p>
            <w:r>
              <w:rPr>
                <w:sz w:val="17"/>
              </w:rPr>
              <w:t>3.000 + 1.200 + 800 + 2.000</w:t>
            </w:r>
          </w:p>
        </w:tc>
        <w:tc>
          <w:tcPr>
            <w:tcW w:type="dxa" w:w="3324"/>
          </w:tcPr>
          <w:p>
            <w:r>
              <w:rPr>
                <w:sz w:val="17"/>
              </w:rPr>
              <w:t>$7.000</w:t>
            </w:r>
          </w:p>
        </w:tc>
      </w:tr>
      <w:tr>
        <w:tc>
          <w:tcPr>
            <w:tcW w:type="dxa" w:w="3324"/>
          </w:tcPr>
          <w:p>
            <w:r>
              <w:rPr>
                <w:sz w:val="17"/>
              </w:rPr>
              <w:t>Ingresos</w:t>
            </w:r>
          </w:p>
        </w:tc>
        <w:tc>
          <w:tcPr>
            <w:tcW w:type="dxa" w:w="3324"/>
          </w:tcPr>
          <w:p>
            <w:r>
              <w:rPr>
                <w:sz w:val="17"/>
              </w:rPr>
              <w:t>600 × 12.000</w:t>
            </w:r>
          </w:p>
        </w:tc>
        <w:tc>
          <w:tcPr>
            <w:tcW w:type="dxa" w:w="3324"/>
          </w:tcPr>
          <w:p>
            <w:r>
              <w:rPr>
                <w:sz w:val="17"/>
              </w:rPr>
              <w:t>$7.200.000</w:t>
            </w:r>
          </w:p>
        </w:tc>
      </w:tr>
      <w:tr>
        <w:tc>
          <w:tcPr>
            <w:tcW w:type="dxa" w:w="3324"/>
          </w:tcPr>
          <w:p>
            <w:r>
              <w:rPr>
                <w:sz w:val="17"/>
              </w:rPr>
              <w:t>Costos variables</w:t>
            </w:r>
          </w:p>
        </w:tc>
        <w:tc>
          <w:tcPr>
            <w:tcW w:type="dxa" w:w="3324"/>
          </w:tcPr>
          <w:p>
            <w:r>
              <w:rPr>
                <w:sz w:val="17"/>
              </w:rPr>
              <w:t>600 × 7.000</w:t>
            </w:r>
          </w:p>
        </w:tc>
        <w:tc>
          <w:tcPr>
            <w:tcW w:type="dxa" w:w="3324"/>
          </w:tcPr>
          <w:p>
            <w:r>
              <w:rPr>
                <w:sz w:val="17"/>
              </w:rPr>
              <w:t>$4.200.000</w:t>
            </w:r>
          </w:p>
        </w:tc>
      </w:tr>
      <w:tr>
        <w:tc>
          <w:tcPr>
            <w:tcW w:type="dxa" w:w="3324"/>
          </w:tcPr>
          <w:p>
            <w:r>
              <w:rPr>
                <w:sz w:val="17"/>
              </w:rPr>
              <w:t>Costos fijos</w:t>
            </w:r>
          </w:p>
        </w:tc>
        <w:tc>
          <w:tcPr>
            <w:tcW w:type="dxa" w:w="3324"/>
          </w:tcPr>
          <w:p>
            <w:r>
              <w:rPr>
                <w:sz w:val="17"/>
              </w:rPr>
              <w:t>650.000 + 700.000 + 150.000 + 100.000 + 200.000</w:t>
            </w:r>
          </w:p>
        </w:tc>
        <w:tc>
          <w:tcPr>
            <w:tcW w:type="dxa" w:w="3324"/>
          </w:tcPr>
          <w:p>
            <w:r>
              <w:rPr>
                <w:sz w:val="17"/>
              </w:rPr>
              <w:t>$1.800.000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7"/>
              </w:rPr>
              <w:t>Costos totales</w:t>
            </w:r>
          </w:p>
        </w:tc>
        <w:tc>
          <w:tcPr>
            <w:tcW w:type="dxa" w:w="3324"/>
          </w:tcPr>
          <w:p>
            <w:r>
              <w:rPr>
                <w:b/>
                <w:sz w:val="17"/>
              </w:rPr>
              <w:t>4.200.000 + 1.800.000</w:t>
            </w:r>
          </w:p>
        </w:tc>
        <w:tc>
          <w:tcPr>
            <w:tcW w:type="dxa" w:w="3324"/>
          </w:tcPr>
          <w:p>
            <w:r>
              <w:rPr>
                <w:b/>
                <w:sz w:val="17"/>
              </w:rPr>
              <w:t>$6.000.000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7"/>
              </w:rPr>
              <w:t>Resultado</w:t>
            </w:r>
          </w:p>
        </w:tc>
        <w:tc>
          <w:tcPr>
            <w:tcW w:type="dxa" w:w="3324"/>
          </w:tcPr>
          <w:p>
            <w:r>
              <w:rPr>
                <w:b/>
                <w:sz w:val="17"/>
              </w:rPr>
              <w:t>7.200.000 − 6.000.000</w:t>
            </w:r>
          </w:p>
        </w:tc>
        <w:tc>
          <w:tcPr>
            <w:tcW w:type="dxa" w:w="3324"/>
          </w:tcPr>
          <w:p>
            <w:r>
              <w:rPr>
                <w:b/>
                <w:sz w:val="17"/>
              </w:rPr>
              <w:t>$1.200.000</w:t>
            </w:r>
          </w:p>
        </w:tc>
      </w:tr>
    </w:tbl>
    <w:p>
      <w:r>
        <w:t>Interpretación: en un mes normal gana $1.200.000 y le sobran 200 unidades de capacidad (600 de 800).</w:t>
      </w:r>
    </w:p>
    <w:p>
      <w:pPr>
        <w:pStyle w:val="Heading2"/>
      </w:pPr>
      <w:r>
        <w:t>3. Evaluación del pedido (24 puntos)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7"/>
              </w:rPr>
              <w:t>Concepto</w:t>
            </w:r>
          </w:p>
        </w:tc>
        <w:tc>
          <w:tcPr>
            <w:tcW w:type="dxa" w:w="2493"/>
          </w:tcPr>
          <w:p>
            <w:r>
              <w:rPr>
                <w:b/>
                <w:sz w:val="17"/>
              </w:rPr>
              <w:t>A: rechazar</w:t>
            </w:r>
          </w:p>
        </w:tc>
        <w:tc>
          <w:tcPr>
            <w:tcW w:type="dxa" w:w="2493"/>
          </w:tcPr>
          <w:p>
            <w:r>
              <w:rPr>
                <w:b/>
                <w:sz w:val="17"/>
              </w:rPr>
              <w:t>B: arrendar</w:t>
            </w:r>
          </w:p>
        </w:tc>
        <w:tc>
          <w:tcPr>
            <w:tcW w:type="dxa" w:w="2493"/>
          </w:tcPr>
          <w:p>
            <w:r>
              <w:rPr>
                <w:b/>
                <w:sz w:val="17"/>
              </w:rPr>
              <w:t>C: externalizar</w:t>
            </w:r>
          </w:p>
        </w:tc>
      </w:tr>
      <w:tr>
        <w:tc>
          <w:tcPr>
            <w:tcW w:type="dxa" w:w="2493"/>
          </w:tcPr>
          <w:p>
            <w:r>
              <w:rPr>
                <w:sz w:val="17"/>
              </w:rPr>
              <w:t>Unidades totales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600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850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850</w:t>
            </w:r>
          </w:p>
        </w:tc>
      </w:tr>
      <w:tr>
        <w:tc>
          <w:tcPr>
            <w:tcW w:type="dxa" w:w="2493"/>
          </w:tcPr>
          <w:p>
            <w:r>
              <w:rPr>
                <w:sz w:val="17"/>
              </w:rPr>
              <w:t>Exceso sobre capacidad habitual (800)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50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50</w:t>
            </w:r>
          </w:p>
        </w:tc>
      </w:tr>
      <w:tr>
        <w:tc>
          <w:tcPr>
            <w:tcW w:type="dxa" w:w="2493"/>
          </w:tcPr>
          <w:p>
            <w:r>
              <w:rPr>
                <w:sz w:val="17"/>
              </w:rPr>
              <w:t>Unidades internas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600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850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800</w:t>
            </w:r>
          </w:p>
        </w:tc>
      </w:tr>
      <w:tr>
        <w:tc>
          <w:tcPr>
            <w:tcW w:type="dxa" w:w="2493"/>
          </w:tcPr>
          <w:p>
            <w:r>
              <w:rPr>
                <w:sz w:val="17"/>
              </w:rPr>
              <w:t>Unidades externalizadas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50</w:t>
            </w:r>
          </w:p>
        </w:tc>
      </w:tr>
      <w:tr>
        <w:tc>
          <w:tcPr>
            <w:tcW w:type="dxa" w:w="2493"/>
          </w:tcPr>
          <w:p>
            <w:r>
              <w:rPr>
                <w:sz w:val="17"/>
              </w:rPr>
              <w:t>Ingresos habituales (600 × 12.000)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7.200.000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7.200.000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7.200.000</w:t>
            </w:r>
          </w:p>
        </w:tc>
      </w:tr>
      <w:tr>
        <w:tc>
          <w:tcPr>
            <w:tcW w:type="dxa" w:w="2493"/>
          </w:tcPr>
          <w:p>
            <w:r>
              <w:rPr>
                <w:sz w:val="17"/>
              </w:rPr>
              <w:t>Ingresos pedido (250 × 10.000)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2.500.000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2.500.000</w:t>
            </w:r>
          </w:p>
        </w:tc>
      </w:tr>
      <w:tr>
        <w:tc>
          <w:tcPr>
            <w:tcW w:type="dxa" w:w="2493"/>
          </w:tcPr>
          <w:p>
            <w:r>
              <w:rPr>
                <w:sz w:val="17"/>
              </w:rPr>
              <w:t>Ingresos totales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7.200.000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9.700.000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9.700.000</w:t>
            </w:r>
          </w:p>
        </w:tc>
      </w:tr>
      <w:tr>
        <w:tc>
          <w:tcPr>
            <w:tcW w:type="dxa" w:w="2493"/>
          </w:tcPr>
          <w:p>
            <w:r>
              <w:rPr>
                <w:sz w:val="17"/>
              </w:rPr>
              <w:t>Costos internos (× 7.000)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4.200.000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5.950.000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5.600.000</w:t>
            </w:r>
          </w:p>
        </w:tc>
      </w:tr>
      <w:tr>
        <w:tc>
          <w:tcPr>
            <w:tcW w:type="dxa" w:w="2493"/>
          </w:tcPr>
          <w:p>
            <w:r>
              <w:rPr>
                <w:sz w:val="17"/>
              </w:rPr>
              <w:t>Costos externalizados (50 × 9.000)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450.000</w:t>
            </w:r>
          </w:p>
        </w:tc>
      </w:tr>
      <w:tr>
        <w:tc>
          <w:tcPr>
            <w:tcW w:type="dxa" w:w="2493"/>
          </w:tcPr>
          <w:p>
            <w:r>
              <w:rPr>
                <w:sz w:val="17"/>
              </w:rPr>
              <w:t>Costos fijos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1.800.000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1.800.000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1.800.000</w:t>
            </w:r>
          </w:p>
        </w:tc>
      </w:tr>
      <w:tr>
        <w:tc>
          <w:tcPr>
            <w:tcW w:type="dxa" w:w="2493"/>
          </w:tcPr>
          <w:p>
            <w:r>
              <w:rPr>
                <w:sz w:val="17"/>
              </w:rPr>
              <w:t>Arriendo adicional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350.000</w:t>
            </w:r>
          </w:p>
        </w:tc>
        <w:tc>
          <w:tcPr>
            <w:tcW w:type="dxa" w:w="2493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7"/>
              </w:rPr>
              <w:t>Costos totales</w:t>
            </w:r>
          </w:p>
        </w:tc>
        <w:tc>
          <w:tcPr>
            <w:tcW w:type="dxa" w:w="2493"/>
          </w:tcPr>
          <w:p>
            <w:r>
              <w:rPr>
                <w:b/>
                <w:sz w:val="17"/>
              </w:rPr>
              <w:t>6.000.000</w:t>
            </w:r>
          </w:p>
        </w:tc>
        <w:tc>
          <w:tcPr>
            <w:tcW w:type="dxa" w:w="2493"/>
          </w:tcPr>
          <w:p>
            <w:r>
              <w:rPr>
                <w:b/>
                <w:sz w:val="17"/>
              </w:rPr>
              <w:t>8.100.000</w:t>
            </w:r>
          </w:p>
        </w:tc>
        <w:tc>
          <w:tcPr>
            <w:tcW w:type="dxa" w:w="2493"/>
          </w:tcPr>
          <w:p>
            <w:r>
              <w:rPr>
                <w:b/>
                <w:sz w:val="17"/>
              </w:rPr>
              <w:t>7.850.000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7"/>
              </w:rPr>
              <w:t>RESULTADO</w:t>
            </w:r>
          </w:p>
        </w:tc>
        <w:tc>
          <w:tcPr>
            <w:tcW w:type="dxa" w:w="2493"/>
          </w:tcPr>
          <w:p>
            <w:r>
              <w:rPr>
                <w:b/>
                <w:sz w:val="17"/>
              </w:rPr>
              <w:t>1.200.000</w:t>
            </w:r>
          </w:p>
        </w:tc>
        <w:tc>
          <w:tcPr>
            <w:tcW w:type="dxa" w:w="2493"/>
          </w:tcPr>
          <w:p>
            <w:r>
              <w:rPr>
                <w:b/>
                <w:sz w:val="17"/>
              </w:rPr>
              <w:t>1.600.000</w:t>
            </w:r>
          </w:p>
        </w:tc>
        <w:tc>
          <w:tcPr>
            <w:tcW w:type="dxa" w:w="2493"/>
          </w:tcPr>
          <w:p>
            <w:r>
              <w:rPr>
                <w:b/>
                <w:sz w:val="17"/>
              </w:rPr>
              <w:t>1.850.000</w:t>
            </w:r>
          </w:p>
        </w:tc>
      </w:tr>
    </w:tbl>
    <w:p>
      <w:r>
        <w:t>B−A = $400.000 · C−A = $650.000 · B−C = −$250.000.</w:t>
      </w:r>
    </w:p>
    <w:p>
      <w:r>
        <w:t>Vender más no garantiza más resultado: el pedido aporta $3.000 por unidad (10.000 − 7.000). Las primeras 200 unidades usan capacidad ociosa y aportan $600.000. Las últimas 50 exigen un costo extra: en B el arriendo ($350.000) supera lo que aportan (50 × 3.000 = $150.000); en C cada unidad comprada deja solo $1.000 (10.000 − 9.000).</w:t>
      </w:r>
    </w:p>
    <w:p>
      <w:pPr>
        <w:pStyle w:val="Heading2"/>
      </w:pPr>
      <w:r>
        <w:t>4. Enfoques contables (12 puntos)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3324"/>
          </w:tcPr>
          <w:p>
            <w:r>
              <w:rPr>
                <w:b/>
                <w:sz w:val="17"/>
              </w:rPr>
              <w:t>Enfoque</w:t>
            </w:r>
          </w:p>
        </w:tc>
        <w:tc>
          <w:tcPr>
            <w:tcW w:type="dxa" w:w="3324"/>
          </w:tcPr>
          <w:p>
            <w:r>
              <w:rPr>
                <w:b/>
                <w:sz w:val="17"/>
              </w:rPr>
              <w:t>Justificación</w:t>
            </w:r>
          </w:p>
        </w:tc>
      </w:tr>
      <w:tr>
        <w:tc>
          <w:tcPr>
            <w:tcW w:type="dxa" w:w="3324"/>
          </w:tcPr>
          <w:p>
            <w:r>
              <w:rPr>
                <w:sz w:val="17"/>
              </w:rPr>
              <w:t>Estados financieros para un banco</w:t>
            </w:r>
          </w:p>
        </w:tc>
        <w:tc>
          <w:tcPr>
            <w:tcW w:type="dxa" w:w="3324"/>
          </w:tcPr>
          <w:p>
            <w:r>
              <w:rPr>
                <w:sz w:val="17"/>
              </w:rPr>
              <w:t>Financiera</w:t>
            </w:r>
          </w:p>
        </w:tc>
        <w:tc>
          <w:tcPr>
            <w:tcW w:type="dxa" w:w="3324"/>
          </w:tcPr>
          <w:p>
            <w:r>
              <w:rPr>
                <w:sz w:val="17"/>
              </w:rPr>
              <w:t>Usuario externo, información histórica.</w:t>
            </w:r>
          </w:p>
        </w:tc>
      </w:tr>
      <w:tr>
        <w:tc>
          <w:tcPr>
            <w:tcW w:type="dxa" w:w="3324"/>
          </w:tcPr>
          <w:p>
            <w:r>
              <w:rPr>
                <w:sz w:val="17"/>
              </w:rPr>
              <w:t>Comparación arriendo / externalización</w:t>
            </w:r>
          </w:p>
        </w:tc>
        <w:tc>
          <w:tcPr>
            <w:tcW w:type="dxa" w:w="3324"/>
          </w:tcPr>
          <w:p>
            <w:r>
              <w:rPr>
                <w:sz w:val="17"/>
              </w:rPr>
              <w:t>Administrativa</w:t>
            </w:r>
          </w:p>
        </w:tc>
        <w:tc>
          <w:tcPr>
            <w:tcW w:type="dxa" w:w="3324"/>
          </w:tcPr>
          <w:p>
            <w:r>
              <w:rPr>
                <w:sz w:val="17"/>
              </w:rPr>
              <w:t>Decisión interna entre alternativas.</w:t>
            </w:r>
          </w:p>
        </w:tc>
      </w:tr>
      <w:tr>
        <w:tc>
          <w:tcPr>
            <w:tcW w:type="dxa" w:w="3324"/>
          </w:tcPr>
          <w:p>
            <w:r>
              <w:rPr>
                <w:sz w:val="17"/>
              </w:rPr>
              <w:t>Resultado real del período</w:t>
            </w:r>
          </w:p>
        </w:tc>
        <w:tc>
          <w:tcPr>
            <w:tcW w:type="dxa" w:w="3324"/>
          </w:tcPr>
          <w:p>
            <w:r>
              <w:rPr>
                <w:sz w:val="17"/>
              </w:rPr>
              <w:t>Financiera</w:t>
            </w:r>
          </w:p>
        </w:tc>
        <w:tc>
          <w:tcPr>
            <w:tcW w:type="dxa" w:w="3324"/>
          </w:tcPr>
          <w:p>
            <w:r>
              <w:rPr>
                <w:sz w:val="17"/>
              </w:rPr>
              <w:t>Resultado histórico que se informa al cierre.</w:t>
            </w:r>
          </w:p>
        </w:tc>
      </w:tr>
      <w:tr>
        <w:tc>
          <w:tcPr>
            <w:tcW w:type="dxa" w:w="3324"/>
          </w:tcPr>
          <w:p>
            <w:r>
              <w:rPr>
                <w:sz w:val="17"/>
              </w:rPr>
              <w:t>Presupuesto futuro</w:t>
            </w:r>
          </w:p>
        </w:tc>
        <w:tc>
          <w:tcPr>
            <w:tcW w:type="dxa" w:w="3324"/>
          </w:tcPr>
          <w:p>
            <w:r>
              <w:rPr>
                <w:sz w:val="17"/>
              </w:rPr>
              <w:t>Administrativa</w:t>
            </w:r>
          </w:p>
        </w:tc>
        <w:tc>
          <w:tcPr>
            <w:tcW w:type="dxa" w:w="3324"/>
          </w:tcPr>
          <w:p>
            <w:r>
              <w:rPr>
                <w:sz w:val="17"/>
              </w:rPr>
              <w:t>Proyecta para planificar y controlar.</w:t>
            </w:r>
          </w:p>
        </w:tc>
      </w:tr>
      <w:tr>
        <w:tc>
          <w:tcPr>
            <w:tcW w:type="dxa" w:w="3324"/>
          </w:tcPr>
          <w:p>
            <w:r>
              <w:rPr>
                <w:sz w:val="17"/>
              </w:rPr>
              <w:t>Costo unitario para decidir</w:t>
            </w:r>
          </w:p>
        </w:tc>
        <w:tc>
          <w:tcPr>
            <w:tcW w:type="dxa" w:w="3324"/>
          </w:tcPr>
          <w:p>
            <w:r>
              <w:rPr>
                <w:sz w:val="17"/>
              </w:rPr>
              <w:t>Administrativa</w:t>
            </w:r>
          </w:p>
        </w:tc>
        <w:tc>
          <w:tcPr>
            <w:tcW w:type="dxa" w:w="3324"/>
          </w:tcPr>
          <w:p>
            <w:r>
              <w:rPr>
                <w:sz w:val="17"/>
              </w:rPr>
              <w:t>Ayuda a fijar precios y aceptar pedidos.</w:t>
            </w:r>
          </w:p>
        </w:tc>
      </w:tr>
      <w:tr>
        <w:tc>
          <w:tcPr>
            <w:tcW w:type="dxa" w:w="3324"/>
          </w:tcPr>
          <w:p>
            <w:r>
              <w:rPr>
                <w:sz w:val="17"/>
              </w:rPr>
              <w:t>Activos, pasivos y patrimonio para un inversionista</w:t>
            </w:r>
          </w:p>
        </w:tc>
        <w:tc>
          <w:tcPr>
            <w:tcW w:type="dxa" w:w="3324"/>
          </w:tcPr>
          <w:p>
            <w:r>
              <w:rPr>
                <w:sz w:val="17"/>
              </w:rPr>
              <w:t>Financiera</w:t>
            </w:r>
          </w:p>
        </w:tc>
        <w:tc>
          <w:tcPr>
            <w:tcW w:type="dxa" w:w="3324"/>
          </w:tcPr>
          <w:p>
            <w:r>
              <w:rPr>
                <w:sz w:val="17"/>
              </w:rPr>
              <w:t>Situación patrimonial para un usuario externo.</w:t>
            </w:r>
          </w:p>
        </w:tc>
      </w:tr>
    </w:tbl>
    <w:p>
      <w:r>
        <w:t>Se complementan: el presupuesto proyecta $1.850.000 para noviembre (administrativa); al cierre, la financiera informa el resultado real y se compara con lo presupuestado para corregir.</w:t>
      </w:r>
    </w:p>
    <w:p>
      <w:pPr>
        <w:pStyle w:val="Heading2"/>
      </w:pPr>
      <w:r>
        <w:t>5. Proceso administrativo (20 puntos)</w:t>
      </w:r>
    </w:p>
    <w:p>
      <w:pPr>
        <w:pStyle w:val="ListBullet"/>
      </w:pPr>
      <w:r>
        <w:t>Planificación. Objetivo: cerrar noviembre con al menos $1.850.000, entregando las 850 unidades a tiempo. Acciones: (1) aprobar la muestra del proveedor y armar un calendario de compras; (2) programar 800 unidades internas (200 por semana). Recursos: $450.000 para la compra, materiales, 2 trabajadores y una planilla de seguimiento.</w:t>
      </w:r>
    </w:p>
    <w:p>
      <w:pPr>
        <w:pStyle w:val="ListBullet"/>
      </w:pPr>
      <w:r>
        <w:t>Organización. Carolina: decide, negocia con la distribuidora y el proveedor y revisa indicadores. Encargado de compras: calendario, órdenes, revisión de la muestra y stock. Trabajador 1: preparación y corte. Trabajador 2: terminación, envase y etiqueta.</w:t>
      </w:r>
    </w:p>
    <w:p>
      <w:pPr>
        <w:pStyle w:val="ListBullet"/>
      </w:pPr>
      <w:r>
        <w:t>Dirección. Comunicación: instrucciones escritas con cantidad, fecha y responsable. Coordinación: cronograma semanal compartido. Atrasos: aviso inmediato a Carolina, reasignar horas, priorizar el pedido e informar a la distribuidora.</w:t>
      </w:r>
    </w:p>
    <w:p>
      <w:pPr>
        <w:pStyle w:val="ListBullet"/>
      </w:pPr>
      <w:r>
        <w:t>Control. (1) Unidades producidas contra el plan, meta 200 por semana, semanal: si baja, reasignar horas. (2) Entregas a tiempo, meta 100 %, semanal: si hay desvío, activar el plan de atraso. (3) Costo variable unitario real, meta $7.000 o menos, quincenal: si sube, revisar mermas y precios.</w:t>
      </w:r>
    </w:p>
    <w:p>
      <w:r>
        <w:t>Si rechazan el pedido: el objetivo es cerrar con $1.200.000 vendiendo 600 unidades, con las mismas acciones de compras y control, sin la compra al proveedor.</w:t>
      </w:r>
    </w:p>
    <w:p>
      <w:pPr>
        <w:pStyle w:val="Heading2"/>
      </w:pPr>
      <w:r>
        <w:t>6. Recomendación final (12 puntos)</w:t>
      </w:r>
    </w:p>
    <w:p>
      <w:r>
        <w:t>Recomendamos aceptar el pedido especial y elegir la alternativa C (externalizar), siempre que la muestra de calidad del proveedor sea aprobada antes de confirmar la compra. Con C, EcoOrganiza fabrica 800 unidades en su taller y compra 50 a $9.000 cada una, y así entrega las 850 unidades de noviembre. El resultado proyectado es $1.850.000: $650.000 más que rechazar el pedido (A: $1.200.000) y $250.000 más que arrendar la máquina (B: $1.600.000). C gana porque evita el arriendo adicional de $350.000 y porque comprar las 50 unidades cuesta $450.000, menos que fabricarlas con la máquina arrendada ($350.000 de costo variable más $350.000 de arriendo).</w:t>
      </w:r>
    </w:p>
    <w:p>
      <w:r>
        <w:t>El riesgo de C es operativo y de calidad: el proveedor promete cumplir, pero la muestra aún no se revisa. Si entrega tarde o con defectos, Carolina arriesga $500.000 de ingresos de esas 50 unidades, su relación con la distribuidora y futuros pedidos. Por eso la verificación previa al compromiso es obligatoria: revisar la muestra con una lista de control (medidas, terminación, envase y etiqueta), pedir por escrito la fecha y la cantidad de entrega y recibir el lote antes de la fecha límite para poder reaccionar. Si la muestra no cumple, la alternativa es B, que deja $1.600.000 y mantiene la calidad bajo control del taller; si la distribuidora no acepta el pedido en esas condiciones, se mantiene A.</w:t>
      </w:r>
    </w:p>
    <w:p>
      <w:r>
        <w:t>Proponemos dos mejoras permanentes de gestión: (1) un presupuesto mensual con calendario de compras y stock mínimo de madera e insumos, para dejar de comprar cuando se agotan; (2) una revisión semanal de costos y entregas con indicadores y responsables definidos, en vez de revisar los costos solo al cierre. Así Carolina decide con cifras antes de comprometerse y corrige a tiempo.</w:t>
      </w:r>
    </w:p>
    <w:p>
      <w:pPr>
        <w:pStyle w:val="Heading2"/>
      </w:pPr>
      <w:r>
        <w:t>Cierre individual (borrador: escríbelo con tus palabras)</w:t>
      </w:r>
    </w:p>
    <w:p>
      <w:r>
        <w:t>Información clave: el margen de $3.000 por unidad del pedido y el costo de pasar las 800 unidades (arriendo $350.000 o compra a $9.000). Si el proveedor cobrara más de $10.000 por unidad o su muestra fallara, C dejaría de convenir y iría B.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