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se ha cumplido con los hitos claves planificados, incluyendo modelo arquitectónico e hitos de sprints.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clara asignación de roles mediante la Matriz RACI, donde cada integrante tiene responsabilidades bien definidas entre Backend, Frontend, Móvil, Diseño/QA y Jefatura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dificultades técnicas se han abordado activamente ejecutando las acciones de mitigación definidas en la Matriz de Riesgos del proyecto: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los desafíos de integración del chat y conectividad, se implementaron reconexiones automáticas en el cliente y colas de mensajes resilientes en el backend.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prevenir fallas en la validación de usuarios o posibles bloqueos de APIs externas, se configuraron servicios de mailer alternativos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failover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) y un algoritmo de validación Backend estricto.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como positivo, logrando estructurar, redactar y mantener al día la documentación técnica y los diagramas clave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Cómo optimizar carga de imágenes en capas gratuitas de infraestructura previo a las pruebas de carga masivas.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requiere una redistribución estructural, ya que la Matriz Raci aprobada distribuye de manera equilibrada las cargas. Sin embargo, a medida que avanzan las pruebas de integración , se apoyará transversalmente a QA para la resolución de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bugs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preparación de la demo del sistema.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jppvc9nn1g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Altamente positiva, tenemos una gran responsabilidad, cumpliendo fechas de entregas y alta capacidad de resolución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btn+T2FNV05o3r+3U4wE7O1lw==">CgMxLjAyDmguZmpwcHZjOW5uMWdwOAByITFicG5Oa05wMVhTbHhRUXFkcFdJTFZaUTBGWmN5bnluUQ==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