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BC3" w:rsidRDefault="000F4BC3">
      <w:pPr>
        <w:spacing w:before="200" w:after="40" w:line="271" w:lineRule="auto"/>
        <w:rPr>
          <w:sz w:val="24"/>
          <w:szCs w:val="24"/>
        </w:rPr>
      </w:pPr>
      <w:bookmarkStart w:id="0" w:name="_GoBack"/>
      <w:bookmarkEnd w:id="0"/>
    </w:p>
    <w:p w:rsidR="000F4BC3" w:rsidRDefault="00AD4D99">
      <w:pPr>
        <w:pStyle w:val="Titre"/>
        <w:spacing w:before="200" w:after="40" w:line="271" w:lineRule="auto"/>
        <w:jc w:val="center"/>
        <w:rPr>
          <w:sz w:val="24"/>
          <w:szCs w:val="24"/>
        </w:rPr>
      </w:pPr>
      <w:bookmarkStart w:id="1" w:name="_y4hidn8kvsc7" w:colFirst="0" w:colLast="0"/>
      <w:bookmarkEnd w:id="1"/>
      <w:r>
        <w:rPr>
          <w:noProof/>
        </w:rPr>
        <w:drawing>
          <wp:inline distT="0" distB="0" distL="0" distR="0" wp14:anchorId="45BD2989" wp14:editId="47FB9206">
            <wp:extent cx="2463800" cy="7391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3800" cy="739140"/>
                    </a:xfrm>
                    <a:prstGeom prst="rect">
                      <a:avLst/>
                    </a:prstGeom>
                  </pic:spPr>
                </pic:pic>
              </a:graphicData>
            </a:graphic>
          </wp:inline>
        </w:drawing>
      </w:r>
    </w:p>
    <w:p w:rsidR="000F4BC3" w:rsidRDefault="000F4BC3"/>
    <w:p w:rsidR="000F4BC3" w:rsidRDefault="000F4BC3"/>
    <w:p w:rsidR="000F4BC3" w:rsidRDefault="00AD4D99">
      <w:pPr>
        <w:jc w:val="center"/>
        <w:rPr>
          <w:b/>
        </w:rPr>
      </w:pPr>
      <w:r>
        <w:rPr>
          <w:b/>
        </w:rPr>
        <w:t>Titre qui explicite l’objet, l’angle et l’objectif de la note</w:t>
      </w:r>
    </w:p>
    <w:p w:rsidR="000F4BC3" w:rsidRDefault="000F4BC3"/>
    <w:p w:rsidR="000F4BC3" w:rsidRDefault="000F4BC3"/>
    <w:p w:rsidR="000F4BC3" w:rsidRDefault="00AD4D99">
      <w:pPr>
        <w:rPr>
          <w:sz w:val="20"/>
          <w:szCs w:val="20"/>
        </w:rPr>
      </w:pPr>
      <w:r>
        <w:rPr>
          <w:b/>
          <w:sz w:val="20"/>
          <w:szCs w:val="20"/>
        </w:rPr>
        <w:t>Sujet suivi par</w:t>
      </w:r>
      <w:r>
        <w:rPr>
          <w:sz w:val="20"/>
          <w:szCs w:val="20"/>
        </w:rPr>
        <w:t xml:space="preserve"> : nom et coordonnées de la ou des personne(s) qui suivent le sujet</w:t>
      </w:r>
    </w:p>
    <w:p w:rsidR="000F4BC3" w:rsidRDefault="00AD4D99">
      <w:pPr>
        <w:rPr>
          <w:sz w:val="20"/>
          <w:szCs w:val="20"/>
        </w:rPr>
      </w:pPr>
      <w:r>
        <w:rPr>
          <w:b/>
          <w:sz w:val="20"/>
          <w:szCs w:val="20"/>
        </w:rPr>
        <w:t>Date</w:t>
      </w:r>
      <w:r>
        <w:rPr>
          <w:sz w:val="20"/>
          <w:szCs w:val="20"/>
        </w:rPr>
        <w:t xml:space="preserve"> : date de la note</w:t>
      </w:r>
    </w:p>
    <w:p w:rsidR="000F4BC3" w:rsidRDefault="000F4BC3"/>
    <w:p w:rsidR="000F4BC3" w:rsidRDefault="00AD4D99">
      <w:pPr>
        <w:pBdr>
          <w:top w:val="single" w:sz="8" w:space="5" w:color="000000"/>
          <w:left w:val="single" w:sz="8" w:space="5" w:color="000000"/>
          <w:bottom w:val="single" w:sz="8" w:space="5" w:color="000000"/>
          <w:right w:val="single" w:sz="8" w:space="5" w:color="000000"/>
        </w:pBdr>
        <w:jc w:val="both"/>
        <w:rPr>
          <w:sz w:val="20"/>
          <w:szCs w:val="20"/>
        </w:rPr>
      </w:pPr>
      <w:r>
        <w:rPr>
          <w:sz w:val="20"/>
          <w:szCs w:val="20"/>
        </w:rPr>
        <w:t xml:space="preserve">Dans cette partie, résumer en maximum 7 lignes la note. Il ne s’agit pas ici de faire du suspense, mais bien de synthétiser le message complètement, car c’est souvent la seule partie que votre interlocuteur lira vraiment. Ne lésinez pas sur les mots-clefs </w:t>
      </w:r>
      <w:r>
        <w:rPr>
          <w:sz w:val="20"/>
          <w:szCs w:val="20"/>
        </w:rPr>
        <w:t xml:space="preserve">qui devront éveiller l’attention du lecteur : par exemple, “fort enjeu d’inclusion numérique”, “risque d’arrêt du service”, etc. </w:t>
      </w:r>
    </w:p>
    <w:p w:rsidR="000F4BC3" w:rsidRDefault="000F4BC3">
      <w:pPr>
        <w:pBdr>
          <w:top w:val="single" w:sz="8" w:space="5" w:color="000000"/>
          <w:left w:val="single" w:sz="8" w:space="5" w:color="000000"/>
          <w:bottom w:val="single" w:sz="8" w:space="5" w:color="000000"/>
          <w:right w:val="single" w:sz="8" w:space="5" w:color="000000"/>
        </w:pBdr>
        <w:jc w:val="both"/>
        <w:rPr>
          <w:sz w:val="20"/>
          <w:szCs w:val="20"/>
        </w:rPr>
      </w:pPr>
    </w:p>
    <w:p w:rsidR="000F4BC3" w:rsidRDefault="00AD4D99">
      <w:pPr>
        <w:pBdr>
          <w:top w:val="single" w:sz="8" w:space="5" w:color="000000"/>
          <w:left w:val="single" w:sz="8" w:space="5" w:color="000000"/>
          <w:bottom w:val="single" w:sz="8" w:space="5" w:color="000000"/>
          <w:right w:val="single" w:sz="8" w:space="5" w:color="000000"/>
        </w:pBdr>
        <w:jc w:val="both"/>
        <w:rPr>
          <w:sz w:val="20"/>
          <w:szCs w:val="20"/>
        </w:rPr>
      </w:pPr>
      <w:r>
        <w:rPr>
          <w:sz w:val="20"/>
          <w:szCs w:val="20"/>
        </w:rPr>
        <w:t xml:space="preserve">Expliciter ici l’objectif de la note : </w:t>
      </w:r>
    </w:p>
    <w:p w:rsidR="000F4BC3" w:rsidRDefault="00AD4D99">
      <w:pPr>
        <w:pBdr>
          <w:top w:val="single" w:sz="8" w:space="5" w:color="000000"/>
          <w:left w:val="single" w:sz="8" w:space="5" w:color="000000"/>
          <w:bottom w:val="single" w:sz="8" w:space="5" w:color="000000"/>
          <w:right w:val="single" w:sz="8" w:space="5" w:color="000000"/>
        </w:pBdr>
        <w:jc w:val="both"/>
        <w:rPr>
          <w:sz w:val="20"/>
          <w:szCs w:val="20"/>
        </w:rPr>
      </w:pPr>
      <w:r>
        <w:rPr>
          <w:sz w:val="20"/>
          <w:szCs w:val="20"/>
        </w:rPr>
        <w:t>- note pro-active : est-ce une note pour arbitrer entre une solution A et une solutio</w:t>
      </w:r>
      <w:r>
        <w:rPr>
          <w:sz w:val="20"/>
          <w:szCs w:val="20"/>
        </w:rPr>
        <w:t>n B ? obtenir une décision ? demander quelque chose de précis ?</w:t>
      </w:r>
    </w:p>
    <w:p w:rsidR="000F4BC3" w:rsidRDefault="00AD4D99">
      <w:pPr>
        <w:pBdr>
          <w:top w:val="single" w:sz="8" w:space="5" w:color="000000"/>
          <w:left w:val="single" w:sz="8" w:space="5" w:color="000000"/>
          <w:bottom w:val="single" w:sz="8" w:space="5" w:color="000000"/>
          <w:right w:val="single" w:sz="8" w:space="5" w:color="000000"/>
        </w:pBdr>
        <w:jc w:val="both"/>
        <w:rPr>
          <w:sz w:val="20"/>
          <w:szCs w:val="20"/>
        </w:rPr>
      </w:pPr>
      <w:r>
        <w:rPr>
          <w:sz w:val="20"/>
          <w:szCs w:val="20"/>
        </w:rPr>
        <w:t xml:space="preserve">- note réactive (suite à une demande de </w:t>
      </w:r>
      <w:proofErr w:type="spellStart"/>
      <w:r>
        <w:rPr>
          <w:sz w:val="20"/>
          <w:szCs w:val="20"/>
        </w:rPr>
        <w:t>reporting</w:t>
      </w:r>
      <w:proofErr w:type="spellEnd"/>
      <w:r>
        <w:rPr>
          <w:sz w:val="20"/>
          <w:szCs w:val="20"/>
        </w:rPr>
        <w:t>) : faire un compte-rendu de la situation ?</w:t>
      </w:r>
    </w:p>
    <w:p w:rsidR="000F4BC3" w:rsidRDefault="000F4BC3"/>
    <w:p w:rsidR="000F4BC3" w:rsidRDefault="000F4BC3">
      <w:pPr>
        <w:jc w:val="both"/>
      </w:pPr>
    </w:p>
    <w:p w:rsidR="000F4BC3" w:rsidRDefault="00AD4D99">
      <w:pPr>
        <w:numPr>
          <w:ilvl w:val="0"/>
          <w:numId w:val="1"/>
        </w:numPr>
        <w:jc w:val="both"/>
        <w:rPr>
          <w:b/>
          <w:sz w:val="20"/>
          <w:szCs w:val="20"/>
        </w:rPr>
      </w:pPr>
      <w:r>
        <w:rPr>
          <w:b/>
          <w:sz w:val="20"/>
          <w:szCs w:val="20"/>
          <w:u w:val="single"/>
        </w:rPr>
        <w:t>Une phrase résumant le contenu de la première partie. Ce n’est donc pas un titre.</w:t>
      </w:r>
    </w:p>
    <w:p w:rsidR="000F4BC3" w:rsidRDefault="000F4BC3">
      <w:pPr>
        <w:jc w:val="both"/>
      </w:pPr>
    </w:p>
    <w:p w:rsidR="000F4BC3" w:rsidRDefault="00AD4D99">
      <w:pPr>
        <w:jc w:val="both"/>
        <w:rPr>
          <w:sz w:val="20"/>
          <w:szCs w:val="20"/>
        </w:rPr>
      </w:pPr>
      <w:r>
        <w:rPr>
          <w:sz w:val="20"/>
          <w:szCs w:val="20"/>
        </w:rPr>
        <w:t xml:space="preserve">Dans le corps </w:t>
      </w:r>
      <w:r>
        <w:rPr>
          <w:sz w:val="20"/>
          <w:szCs w:val="20"/>
        </w:rPr>
        <w:t xml:space="preserve">du texte, adopter un langage simple, clair, précis, non jargonneux. On préfèrera les phrases courtes. N’hésitez pas à </w:t>
      </w:r>
      <w:r>
        <w:rPr>
          <w:sz w:val="20"/>
          <w:szCs w:val="20"/>
          <w:u w:val="single"/>
        </w:rPr>
        <w:t>souligner les phrases importantes</w:t>
      </w:r>
      <w:r>
        <w:rPr>
          <w:sz w:val="20"/>
          <w:szCs w:val="20"/>
        </w:rPr>
        <w:t xml:space="preserve"> et </w:t>
      </w:r>
      <w:r>
        <w:rPr>
          <w:b/>
          <w:sz w:val="20"/>
          <w:szCs w:val="20"/>
        </w:rPr>
        <w:t>mettre en gras</w:t>
      </w:r>
      <w:r>
        <w:rPr>
          <w:sz w:val="20"/>
          <w:szCs w:val="20"/>
        </w:rPr>
        <w:t xml:space="preserve">, ou </w:t>
      </w:r>
      <w:r>
        <w:rPr>
          <w:b/>
          <w:sz w:val="20"/>
          <w:szCs w:val="20"/>
          <w:u w:val="single"/>
        </w:rPr>
        <w:t>les deux</w:t>
      </w:r>
      <w:r>
        <w:rPr>
          <w:sz w:val="20"/>
          <w:szCs w:val="20"/>
        </w:rPr>
        <w:t xml:space="preserve"> pour faciliter la lecture. L’objectif est de rendre la note intelligible </w:t>
      </w:r>
      <w:r>
        <w:rPr>
          <w:sz w:val="20"/>
          <w:szCs w:val="20"/>
        </w:rPr>
        <w:t>pour une personne découvrant votre sujet pour la première fois. Le but du jeu ? “</w:t>
      </w:r>
      <w:r>
        <w:rPr>
          <w:i/>
          <w:sz w:val="20"/>
          <w:szCs w:val="20"/>
        </w:rPr>
        <w:t xml:space="preserve">Straight to </w:t>
      </w:r>
      <w:proofErr w:type="spellStart"/>
      <w:r>
        <w:rPr>
          <w:i/>
          <w:sz w:val="20"/>
          <w:szCs w:val="20"/>
        </w:rPr>
        <w:t>to</w:t>
      </w:r>
      <w:proofErr w:type="spellEnd"/>
      <w:r>
        <w:rPr>
          <w:i/>
          <w:sz w:val="20"/>
          <w:szCs w:val="20"/>
        </w:rPr>
        <w:t xml:space="preserve"> </w:t>
      </w:r>
      <w:proofErr w:type="gramStart"/>
      <w:r>
        <w:rPr>
          <w:i/>
          <w:sz w:val="20"/>
          <w:szCs w:val="20"/>
        </w:rPr>
        <w:t>point!</w:t>
      </w:r>
      <w:proofErr w:type="gramEnd"/>
      <w:r>
        <w:rPr>
          <w:sz w:val="20"/>
          <w:szCs w:val="20"/>
        </w:rPr>
        <w:t>”</w:t>
      </w:r>
    </w:p>
    <w:p w:rsidR="000F4BC3" w:rsidRDefault="000F4BC3">
      <w:pPr>
        <w:jc w:val="both"/>
        <w:rPr>
          <w:sz w:val="20"/>
          <w:szCs w:val="20"/>
        </w:rPr>
      </w:pPr>
    </w:p>
    <w:p w:rsidR="000F4BC3" w:rsidRDefault="00AD4D99">
      <w:pPr>
        <w:jc w:val="both"/>
        <w:rPr>
          <w:sz w:val="20"/>
          <w:szCs w:val="20"/>
        </w:rPr>
      </w:pPr>
      <w:r>
        <w:rPr>
          <w:sz w:val="20"/>
          <w:szCs w:val="20"/>
        </w:rPr>
        <w:t xml:space="preserve">Être simple est parfois compliqué : il faut exposer le contexte ; présenter les points de vue divergents ; exposer une analyse finale claire. </w:t>
      </w:r>
    </w:p>
    <w:p w:rsidR="000F4BC3" w:rsidRDefault="000F4BC3">
      <w:pPr>
        <w:jc w:val="both"/>
      </w:pPr>
    </w:p>
    <w:p w:rsidR="000F4BC3" w:rsidRDefault="00AD4D99">
      <w:pPr>
        <w:numPr>
          <w:ilvl w:val="0"/>
          <w:numId w:val="1"/>
        </w:numPr>
        <w:jc w:val="both"/>
        <w:rPr>
          <w:b/>
          <w:sz w:val="20"/>
          <w:szCs w:val="20"/>
        </w:rPr>
      </w:pPr>
      <w:r>
        <w:rPr>
          <w:b/>
          <w:sz w:val="20"/>
          <w:szCs w:val="20"/>
          <w:u w:val="single"/>
        </w:rPr>
        <w:t>Une phrase résumant le contenu de la deuxième partie. Ce n’est donc pas un titre.</w:t>
      </w:r>
    </w:p>
    <w:p w:rsidR="000F4BC3" w:rsidRDefault="000F4BC3">
      <w:pPr>
        <w:jc w:val="both"/>
      </w:pPr>
    </w:p>
    <w:p w:rsidR="000F4BC3" w:rsidRDefault="00AD4D99">
      <w:pPr>
        <w:jc w:val="both"/>
        <w:rPr>
          <w:sz w:val="20"/>
          <w:szCs w:val="20"/>
        </w:rPr>
      </w:pPr>
      <w:r>
        <w:rPr>
          <w:sz w:val="20"/>
          <w:szCs w:val="20"/>
        </w:rPr>
        <w:t xml:space="preserve">Dans le corps du texte, adopter un langage simple, clair, précis, non jargonneux. On préfèrera les phrases courtes. N’hésitez pas à </w:t>
      </w:r>
      <w:r>
        <w:rPr>
          <w:sz w:val="20"/>
          <w:szCs w:val="20"/>
          <w:u w:val="single"/>
        </w:rPr>
        <w:t>souligner les phrases importantes</w:t>
      </w:r>
      <w:r>
        <w:rPr>
          <w:sz w:val="20"/>
          <w:szCs w:val="20"/>
        </w:rPr>
        <w:t xml:space="preserve"> et </w:t>
      </w:r>
      <w:r>
        <w:rPr>
          <w:b/>
          <w:sz w:val="20"/>
          <w:szCs w:val="20"/>
        </w:rPr>
        <w:t>mett</w:t>
      </w:r>
      <w:r>
        <w:rPr>
          <w:b/>
          <w:sz w:val="20"/>
          <w:szCs w:val="20"/>
        </w:rPr>
        <w:t>re en gras</w:t>
      </w:r>
      <w:r>
        <w:rPr>
          <w:sz w:val="20"/>
          <w:szCs w:val="20"/>
        </w:rPr>
        <w:t xml:space="preserve">, ou </w:t>
      </w:r>
      <w:r>
        <w:rPr>
          <w:b/>
          <w:sz w:val="20"/>
          <w:szCs w:val="20"/>
          <w:u w:val="single"/>
        </w:rPr>
        <w:t>les deux</w:t>
      </w:r>
      <w:r>
        <w:rPr>
          <w:sz w:val="20"/>
          <w:szCs w:val="20"/>
        </w:rPr>
        <w:t xml:space="preserve"> pour faciliter la lecture. L’objectif est de rendre la note intelligible pour une personne découvrant votre sujet pour la première fois. Le but du jeu ? “</w:t>
      </w:r>
      <w:r>
        <w:rPr>
          <w:i/>
          <w:sz w:val="20"/>
          <w:szCs w:val="20"/>
        </w:rPr>
        <w:t xml:space="preserve">Straight to </w:t>
      </w:r>
      <w:proofErr w:type="spellStart"/>
      <w:r>
        <w:rPr>
          <w:i/>
          <w:sz w:val="20"/>
          <w:szCs w:val="20"/>
        </w:rPr>
        <w:t>to</w:t>
      </w:r>
      <w:proofErr w:type="spellEnd"/>
      <w:r>
        <w:rPr>
          <w:i/>
          <w:sz w:val="20"/>
          <w:szCs w:val="20"/>
        </w:rPr>
        <w:t xml:space="preserve"> </w:t>
      </w:r>
      <w:proofErr w:type="gramStart"/>
      <w:r>
        <w:rPr>
          <w:i/>
          <w:sz w:val="20"/>
          <w:szCs w:val="20"/>
        </w:rPr>
        <w:t>point!</w:t>
      </w:r>
      <w:proofErr w:type="gramEnd"/>
      <w:r>
        <w:rPr>
          <w:sz w:val="20"/>
          <w:szCs w:val="20"/>
        </w:rPr>
        <w:t>”</w:t>
      </w:r>
    </w:p>
    <w:p w:rsidR="000F4BC3" w:rsidRDefault="000F4BC3">
      <w:pPr>
        <w:jc w:val="both"/>
        <w:rPr>
          <w:sz w:val="20"/>
          <w:szCs w:val="20"/>
        </w:rPr>
      </w:pPr>
    </w:p>
    <w:p w:rsidR="000F4BC3" w:rsidRDefault="00AD4D99">
      <w:pPr>
        <w:numPr>
          <w:ilvl w:val="0"/>
          <w:numId w:val="1"/>
        </w:numPr>
        <w:jc w:val="both"/>
        <w:rPr>
          <w:b/>
          <w:sz w:val="20"/>
          <w:szCs w:val="20"/>
        </w:rPr>
      </w:pPr>
      <w:r>
        <w:rPr>
          <w:b/>
          <w:sz w:val="20"/>
          <w:szCs w:val="20"/>
          <w:u w:val="single"/>
        </w:rPr>
        <w:t>Si c’est une note ministre, il peut être intéressant d</w:t>
      </w:r>
      <w:r>
        <w:rPr>
          <w:b/>
          <w:sz w:val="20"/>
          <w:szCs w:val="20"/>
          <w:u w:val="single"/>
        </w:rPr>
        <w:t>e préparer des “éléments de langage”</w:t>
      </w:r>
    </w:p>
    <w:p w:rsidR="000F4BC3" w:rsidRDefault="000F4BC3">
      <w:pPr>
        <w:jc w:val="both"/>
      </w:pPr>
    </w:p>
    <w:p w:rsidR="000F4BC3" w:rsidRDefault="00AD4D99">
      <w:pPr>
        <w:jc w:val="both"/>
        <w:rPr>
          <w:sz w:val="20"/>
          <w:szCs w:val="20"/>
        </w:rPr>
      </w:pPr>
      <w:r>
        <w:rPr>
          <w:sz w:val="20"/>
          <w:szCs w:val="20"/>
        </w:rPr>
        <w:t>Les éléments de langage constituent un discours tout fait, compréhensible par tout un chacun</w:t>
      </w:r>
    </w:p>
    <w:p w:rsidR="000F4BC3" w:rsidRDefault="000F4BC3">
      <w:pPr>
        <w:jc w:val="both"/>
      </w:pPr>
    </w:p>
    <w:p w:rsidR="000F4BC3" w:rsidRDefault="00AD4D99">
      <w:pPr>
        <w:jc w:val="both"/>
        <w:rPr>
          <w:b/>
          <w:sz w:val="20"/>
          <w:szCs w:val="20"/>
          <w:u w:val="single"/>
        </w:rPr>
      </w:pPr>
      <w:r>
        <w:br w:type="page"/>
      </w:r>
    </w:p>
    <w:p w:rsidR="000F4BC3" w:rsidRDefault="00AD4D99">
      <w:pPr>
        <w:jc w:val="both"/>
        <w:rPr>
          <w:b/>
          <w:sz w:val="20"/>
          <w:szCs w:val="20"/>
          <w:u w:val="single"/>
        </w:rPr>
      </w:pPr>
      <w:r>
        <w:rPr>
          <w:b/>
          <w:sz w:val="20"/>
          <w:szCs w:val="20"/>
          <w:u w:val="single"/>
        </w:rPr>
        <w:lastRenderedPageBreak/>
        <w:t xml:space="preserve">Annexes </w:t>
      </w:r>
    </w:p>
    <w:p w:rsidR="000F4BC3" w:rsidRDefault="000F4BC3">
      <w:pPr>
        <w:jc w:val="both"/>
        <w:rPr>
          <w:sz w:val="20"/>
          <w:szCs w:val="20"/>
        </w:rPr>
      </w:pPr>
    </w:p>
    <w:p w:rsidR="000F4BC3" w:rsidRDefault="00AD4D99">
      <w:pPr>
        <w:jc w:val="both"/>
        <w:rPr>
          <w:sz w:val="20"/>
          <w:szCs w:val="20"/>
        </w:rPr>
      </w:pPr>
      <w:r>
        <w:rPr>
          <w:sz w:val="20"/>
          <w:szCs w:val="20"/>
        </w:rPr>
        <w:t xml:space="preserve">Tout ce qui dérange la lecture est à mettre en annexe : graphiques, captures d’écrans, etc. </w:t>
      </w:r>
    </w:p>
    <w:p w:rsidR="000F4BC3" w:rsidRDefault="00AD4D99">
      <w:pPr>
        <w:jc w:val="both"/>
      </w:pPr>
      <w:r>
        <w:rPr>
          <w:sz w:val="20"/>
          <w:szCs w:val="20"/>
        </w:rPr>
        <w:t>N’oubliez pas de viser les annexes dans le corps de la note</w:t>
      </w:r>
      <w:r>
        <w:t>.</w:t>
      </w:r>
    </w:p>
    <w:p w:rsidR="000F4BC3" w:rsidRDefault="000F4BC3">
      <w:pPr>
        <w:jc w:val="both"/>
      </w:pPr>
    </w:p>
    <w:p w:rsidR="000F4BC3" w:rsidRDefault="00AD4D99">
      <w:pPr>
        <w:jc w:val="both"/>
        <w:rPr>
          <w:b/>
          <w:sz w:val="20"/>
          <w:szCs w:val="20"/>
        </w:rPr>
      </w:pPr>
      <w:r>
        <w:rPr>
          <w:b/>
          <w:sz w:val="20"/>
          <w:szCs w:val="20"/>
        </w:rPr>
        <w:t xml:space="preserve">Conseils lorsque vous avez fini votre note : </w:t>
      </w:r>
    </w:p>
    <w:p w:rsidR="000F4BC3" w:rsidRDefault="00AD4D99">
      <w:pPr>
        <w:numPr>
          <w:ilvl w:val="0"/>
          <w:numId w:val="2"/>
        </w:numPr>
        <w:jc w:val="both"/>
        <w:rPr>
          <w:sz w:val="20"/>
          <w:szCs w:val="20"/>
        </w:rPr>
      </w:pPr>
      <w:r>
        <w:rPr>
          <w:sz w:val="20"/>
          <w:szCs w:val="20"/>
        </w:rPr>
        <w:t xml:space="preserve">Relisez-vous </w:t>
      </w:r>
    </w:p>
    <w:p w:rsidR="000F4BC3" w:rsidRDefault="00AD4D99">
      <w:pPr>
        <w:numPr>
          <w:ilvl w:val="0"/>
          <w:numId w:val="2"/>
        </w:numPr>
        <w:jc w:val="both"/>
        <w:rPr>
          <w:sz w:val="20"/>
          <w:szCs w:val="20"/>
        </w:rPr>
      </w:pPr>
      <w:r>
        <w:rPr>
          <w:sz w:val="20"/>
          <w:szCs w:val="20"/>
        </w:rPr>
        <w:t>Lisez à haute voix d’abord pour vous ; puis devant quelqu’un qui ne connaît pas le sujet</w:t>
      </w:r>
    </w:p>
    <w:p w:rsidR="000F4BC3" w:rsidRDefault="00AD4D99">
      <w:pPr>
        <w:numPr>
          <w:ilvl w:val="0"/>
          <w:numId w:val="2"/>
        </w:numPr>
        <w:jc w:val="both"/>
        <w:rPr>
          <w:sz w:val="20"/>
          <w:szCs w:val="20"/>
        </w:rPr>
      </w:pPr>
      <w:r>
        <w:rPr>
          <w:sz w:val="20"/>
          <w:szCs w:val="20"/>
        </w:rPr>
        <w:t>Gardez une copie de votre note, précieusement</w:t>
      </w:r>
      <w:r>
        <w:rPr>
          <w:sz w:val="20"/>
          <w:szCs w:val="20"/>
        </w:rPr>
        <w:t>. Elle pourra servir à nouveau. Vous avez sûrement passé beaucoup de temps à écrire votre note. N’hésitez pas à en profiter pour en réutiliser des paragraphes au maximum, par exemple pour documenter votre site internet.</w:t>
      </w:r>
    </w:p>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0F4BC3"/>
    <w:p w:rsidR="000F4BC3" w:rsidRDefault="00AD4D99">
      <w:pPr>
        <w:rPr>
          <w:b/>
        </w:rPr>
      </w:pPr>
      <w:r>
        <w:rPr>
          <w:b/>
        </w:rPr>
        <w:t>Annexe : exemple de note</w:t>
      </w:r>
    </w:p>
    <w:p w:rsidR="000F4BC3" w:rsidRDefault="000F4BC3"/>
    <w:p w:rsidR="000F4BC3" w:rsidRDefault="000F4BC3"/>
    <w:p w:rsidR="000F4BC3" w:rsidRDefault="000F4BC3">
      <w:pPr>
        <w:widowControl w:val="0"/>
      </w:pPr>
    </w:p>
    <w:tbl>
      <w:tblPr>
        <w:tblStyle w:val="a"/>
        <w:tblW w:w="9425" w:type="dxa"/>
        <w:tblInd w:w="-72" w:type="dxa"/>
        <w:tblLayout w:type="fixed"/>
        <w:tblLook w:val="0000" w:firstRow="0" w:lastRow="0" w:firstColumn="0" w:lastColumn="0" w:noHBand="0" w:noVBand="0"/>
      </w:tblPr>
      <w:tblGrid>
        <w:gridCol w:w="3897"/>
        <w:gridCol w:w="5528"/>
      </w:tblGrid>
      <w:tr w:rsidR="000F4BC3">
        <w:trPr>
          <w:trHeight w:val="3880"/>
        </w:trPr>
        <w:tc>
          <w:tcPr>
            <w:tcW w:w="3897" w:type="dxa"/>
          </w:tcPr>
          <w:p w:rsidR="000F4BC3" w:rsidRDefault="00AD4D99">
            <w:pPr>
              <w:tabs>
                <w:tab w:val="left" w:pos="6804"/>
              </w:tabs>
              <w:spacing w:before="120" w:line="240" w:lineRule="auto"/>
              <w:rPr>
                <w:rFonts w:ascii="Times New Roman" w:eastAsia="Times New Roman" w:hAnsi="Times New Roman" w:cs="Times New Roman"/>
                <w:smallCaps/>
                <w:sz w:val="15"/>
                <w:szCs w:val="15"/>
              </w:rPr>
            </w:pPr>
            <w:r>
              <w:rPr>
                <w:rFonts w:ascii="Times New Roman" w:eastAsia="Times New Roman" w:hAnsi="Times New Roman" w:cs="Times New Roman"/>
                <w:b/>
                <w:smallCaps/>
                <w:sz w:val="15"/>
                <w:szCs w:val="15"/>
              </w:rPr>
              <w:t>DIRECTION INTERMINISTÉRIELLE DU NUMÉRIQUE ET DU SYSTÈME D’INFORMATION ET DE COMMUNICATION DE L’ÉTAT</w:t>
            </w:r>
          </w:p>
          <w:p w:rsidR="000F4BC3" w:rsidRDefault="000F4BC3">
            <w:pPr>
              <w:spacing w:line="240" w:lineRule="auto"/>
              <w:rPr>
                <w:rFonts w:ascii="Times New Roman" w:eastAsia="Times New Roman" w:hAnsi="Times New Roman" w:cs="Times New Roman"/>
                <w:sz w:val="16"/>
                <w:szCs w:val="16"/>
              </w:rPr>
            </w:pPr>
          </w:p>
          <w:p w:rsidR="000F4BC3" w:rsidRDefault="00AD4D99">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 avenue de Ségur</w:t>
            </w:r>
          </w:p>
          <w:p w:rsidR="000F4BC3" w:rsidRDefault="00AD4D99">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TSA 30719</w:t>
            </w:r>
          </w:p>
          <w:p w:rsidR="000F4BC3" w:rsidRDefault="00AD4D99">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75334 Paris Cedex 07</w:t>
            </w:r>
          </w:p>
          <w:p w:rsidR="000F4BC3" w:rsidRDefault="000F4BC3">
            <w:pPr>
              <w:spacing w:line="240" w:lineRule="auto"/>
              <w:rPr>
                <w:rFonts w:ascii="Times New Roman" w:eastAsia="Times New Roman" w:hAnsi="Times New Roman" w:cs="Times New Roman"/>
                <w:sz w:val="16"/>
                <w:szCs w:val="16"/>
              </w:rPr>
            </w:pPr>
          </w:p>
          <w:p w:rsidR="000F4BC3" w:rsidRDefault="00AD4D99">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Affaire suivie par : </w:t>
            </w:r>
            <w:proofErr w:type="spellStart"/>
            <w:r>
              <w:rPr>
                <w:rFonts w:ascii="Times New Roman" w:eastAsia="Times New Roman" w:hAnsi="Times New Roman" w:cs="Times New Roman"/>
                <w:sz w:val="16"/>
                <w:szCs w:val="16"/>
              </w:rPr>
              <w:t>Ishan</w:t>
            </w:r>
            <w:proofErr w:type="spellEnd"/>
            <w:r>
              <w:rPr>
                <w:rFonts w:ascii="Times New Roman" w:eastAsia="Times New Roman" w:hAnsi="Times New Roman" w:cs="Times New Roman"/>
                <w:sz w:val="16"/>
                <w:szCs w:val="16"/>
              </w:rPr>
              <w:t xml:space="preserve"> BHOJWANI</w:t>
            </w:r>
          </w:p>
          <w:p w:rsidR="000F4BC3" w:rsidRDefault="00AD4D99">
            <w:pPr>
              <w:rPr>
                <w:rFonts w:ascii="Times New Roman" w:eastAsia="Times New Roman" w:hAnsi="Times New Roman" w:cs="Times New Roman"/>
                <w:sz w:val="16"/>
                <w:szCs w:val="16"/>
              </w:rPr>
            </w:pPr>
            <w:r>
              <w:rPr>
                <w:rFonts w:ascii="Times New Roman" w:eastAsia="Times New Roman" w:hAnsi="Times New Roman" w:cs="Times New Roman"/>
                <w:sz w:val="16"/>
                <w:szCs w:val="16"/>
              </w:rPr>
              <w:t>Téléphone : 06 10 05 46 44</w:t>
            </w:r>
          </w:p>
          <w:p w:rsidR="000F4BC3" w:rsidRDefault="00AD4D99">
            <w:pPr>
              <w:rPr>
                <w:rFonts w:ascii="Times New Roman" w:eastAsia="Times New Roman" w:hAnsi="Times New Roman" w:cs="Times New Roman"/>
                <w:sz w:val="16"/>
                <w:szCs w:val="16"/>
              </w:rPr>
            </w:pPr>
            <w:bookmarkStart w:id="2" w:name="_gjdgxs" w:colFirst="0" w:colLast="0"/>
            <w:bookmarkEnd w:id="2"/>
            <w:r>
              <w:rPr>
                <w:rFonts w:ascii="Times New Roman" w:eastAsia="Times New Roman" w:hAnsi="Times New Roman" w:cs="Times New Roman"/>
                <w:sz w:val="16"/>
                <w:szCs w:val="16"/>
              </w:rPr>
              <w:t xml:space="preserve">Mél. : </w:t>
            </w:r>
            <w:hyperlink r:id="rId6">
              <w:r>
                <w:rPr>
                  <w:rFonts w:ascii="Times New Roman" w:eastAsia="Times New Roman" w:hAnsi="Times New Roman" w:cs="Times New Roman"/>
                  <w:color w:val="0000FF"/>
                  <w:sz w:val="16"/>
                  <w:szCs w:val="16"/>
                  <w:u w:val="single"/>
                </w:rPr>
                <w:t>ishan@beta.gouv.fr</w:t>
              </w:r>
            </w:hyperlink>
            <w:r>
              <w:rPr>
                <w:rFonts w:ascii="Times New Roman" w:eastAsia="Times New Roman" w:hAnsi="Times New Roman" w:cs="Times New Roman"/>
                <w:sz w:val="16"/>
                <w:szCs w:val="16"/>
              </w:rPr>
              <w:t xml:space="preserve"> </w:t>
            </w:r>
          </w:p>
        </w:tc>
        <w:tc>
          <w:tcPr>
            <w:tcW w:w="5528" w:type="dxa"/>
          </w:tcPr>
          <w:p w:rsidR="000F4BC3" w:rsidRDefault="00AD4D99">
            <w:pPr>
              <w:spacing w:line="240" w:lineRule="auto"/>
              <w:ind w:left="1420"/>
              <w:rPr>
                <w:rFonts w:ascii="Times New Roman" w:eastAsia="Times New Roman" w:hAnsi="Times New Roman" w:cs="Times New Roman"/>
                <w:sz w:val="24"/>
                <w:szCs w:val="24"/>
              </w:rPr>
            </w:pPr>
            <w:r>
              <w:rPr>
                <w:rFonts w:ascii="Times New Roman" w:eastAsia="Times New Roman" w:hAnsi="Times New Roman" w:cs="Times New Roman"/>
                <w:sz w:val="24"/>
                <w:szCs w:val="24"/>
              </w:rPr>
              <w:t>Paris, le 13 octobre 2018</w:t>
            </w:r>
          </w:p>
          <w:p w:rsidR="000F4BC3" w:rsidRDefault="000F4BC3">
            <w:pPr>
              <w:spacing w:before="120" w:after="120" w:line="240" w:lineRule="auto"/>
              <w:ind w:left="1915" w:firstLine="71"/>
              <w:jc w:val="both"/>
              <w:rPr>
                <w:rFonts w:ascii="Times New Roman" w:eastAsia="Times New Roman" w:hAnsi="Times New Roman" w:cs="Times New Roman"/>
                <w:sz w:val="24"/>
                <w:szCs w:val="24"/>
              </w:rPr>
            </w:pPr>
          </w:p>
          <w:p w:rsidR="000F4BC3" w:rsidRDefault="000F4BC3">
            <w:pPr>
              <w:spacing w:line="240" w:lineRule="auto"/>
              <w:ind w:left="498"/>
              <w:rPr>
                <w:rFonts w:ascii="Times New Roman" w:eastAsia="Times New Roman" w:hAnsi="Times New Roman" w:cs="Times New Roman"/>
                <w:sz w:val="24"/>
                <w:szCs w:val="24"/>
              </w:rPr>
            </w:pPr>
          </w:p>
          <w:p w:rsidR="000F4BC3" w:rsidRDefault="000F4BC3">
            <w:pPr>
              <w:spacing w:line="240" w:lineRule="auto"/>
              <w:ind w:left="498"/>
              <w:rPr>
                <w:rFonts w:ascii="Times New Roman" w:eastAsia="Times New Roman" w:hAnsi="Times New Roman" w:cs="Times New Roman"/>
                <w:sz w:val="24"/>
                <w:szCs w:val="24"/>
              </w:rPr>
            </w:pPr>
          </w:p>
          <w:p w:rsidR="000F4BC3" w:rsidRDefault="000F4BC3">
            <w:pPr>
              <w:spacing w:line="240" w:lineRule="auto"/>
              <w:ind w:left="995"/>
              <w:rPr>
                <w:rFonts w:ascii="Times New Roman" w:eastAsia="Times New Roman" w:hAnsi="Times New Roman" w:cs="Times New Roman"/>
                <w:sz w:val="24"/>
                <w:szCs w:val="24"/>
              </w:rPr>
            </w:pPr>
          </w:p>
          <w:p w:rsidR="000F4BC3" w:rsidRDefault="000F4BC3">
            <w:pPr>
              <w:spacing w:line="240" w:lineRule="auto"/>
              <w:ind w:left="995"/>
              <w:rPr>
                <w:rFonts w:ascii="Times New Roman" w:eastAsia="Times New Roman" w:hAnsi="Times New Roman" w:cs="Times New Roman"/>
                <w:sz w:val="24"/>
                <w:szCs w:val="24"/>
              </w:rPr>
            </w:pPr>
          </w:p>
          <w:p w:rsidR="000F4BC3" w:rsidRDefault="000F4BC3">
            <w:pPr>
              <w:spacing w:line="240" w:lineRule="auto"/>
              <w:ind w:left="995"/>
              <w:rPr>
                <w:rFonts w:ascii="Times New Roman" w:eastAsia="Times New Roman" w:hAnsi="Times New Roman" w:cs="Times New Roman"/>
                <w:sz w:val="18"/>
                <w:szCs w:val="18"/>
              </w:rPr>
            </w:pPr>
          </w:p>
        </w:tc>
      </w:tr>
    </w:tbl>
    <w:p w:rsidR="000F4BC3" w:rsidRDefault="00AD4D99">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Note à l’attention du Secrétaire d’État chargé du numérique</w:t>
      </w:r>
    </w:p>
    <w:p w:rsidR="000F4BC3" w:rsidRDefault="00AD4D99">
      <w:pPr>
        <w:spacing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Objet</w:t>
      </w:r>
      <w:r>
        <w:rPr>
          <w:rFonts w:ascii="Times New Roman" w:eastAsia="Times New Roman" w:hAnsi="Times New Roman" w:cs="Times New Roman"/>
          <w:b/>
          <w:sz w:val="24"/>
          <w:szCs w:val="24"/>
        </w:rPr>
        <w:t xml:space="preserve"> : </w:t>
      </w:r>
      <w:r>
        <w:rPr>
          <w:rFonts w:ascii="Times New Roman" w:eastAsia="Times New Roman" w:hAnsi="Times New Roman" w:cs="Times New Roman"/>
        </w:rPr>
        <w:t xml:space="preserve">comité stratégique « Données - </w:t>
      </w:r>
      <w:proofErr w:type="spellStart"/>
      <w:r>
        <w:rPr>
          <w:rFonts w:ascii="Times New Roman" w:eastAsia="Times New Roman" w:hAnsi="Times New Roman" w:cs="Times New Roman"/>
        </w:rPr>
        <w:t>MaaS</w:t>
      </w:r>
      <w:proofErr w:type="spellEnd"/>
      <w:r>
        <w:rPr>
          <w:rFonts w:ascii="Times New Roman" w:eastAsia="Times New Roman" w:hAnsi="Times New Roman" w:cs="Times New Roman"/>
        </w:rPr>
        <w:t xml:space="preserve"> » du 18 octobre 2018 : contexte et éléments de langage</w:t>
      </w:r>
    </w:p>
    <w:p w:rsidR="000F4BC3" w:rsidRDefault="00AD4D99">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rPr>
        <w:t xml:space="preserve">Annexes : présentation de la plateforme transport.data.gouv.fr </w:t>
      </w:r>
    </w:p>
    <w:p w:rsidR="000F4BC3" w:rsidRDefault="00AD4D99">
      <w:pPr>
        <w:tabs>
          <w:tab w:val="left" w:pos="1115"/>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Style w:val="a0"/>
        <w:tblW w:w="10545" w:type="dxa"/>
        <w:tblInd w:w="0" w:type="dxa"/>
        <w:tblLayout w:type="fixed"/>
        <w:tblLook w:val="0000" w:firstRow="0" w:lastRow="0" w:firstColumn="0" w:lastColumn="0" w:noHBand="0" w:noVBand="0"/>
      </w:tblPr>
      <w:tblGrid>
        <w:gridCol w:w="10545"/>
      </w:tblGrid>
      <w:tr w:rsidR="000F4BC3">
        <w:trPr>
          <w:trHeight w:val="2560"/>
        </w:trPr>
        <w:tc>
          <w:tcPr>
            <w:tcW w:w="10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4BC3" w:rsidRDefault="00AD4D99">
            <w:pPr>
              <w:spacing w:line="240" w:lineRule="auto"/>
              <w:ind w:right="-31"/>
              <w:jc w:val="both"/>
              <w:rPr>
                <w:rFonts w:ascii="Times New Roman" w:eastAsia="Times New Roman" w:hAnsi="Times New Roman" w:cs="Times New Roman"/>
              </w:rPr>
            </w:pPr>
            <w:r>
              <w:rPr>
                <w:rFonts w:ascii="Times New Roman" w:eastAsia="Times New Roman" w:hAnsi="Times New Roman" w:cs="Times New Roman"/>
              </w:rPr>
              <w:lastRenderedPageBreak/>
              <w:t>Le Secrétaire d’État présentera ce jeudi 18 octobre 2018 avec la Ministre chargée des Transports les grandes lignes de l’action du Gouvernement en ce qui concerne les données de mobilité, cruciales pour faciliter les déplacements des usagers et favoriser l</w:t>
            </w:r>
            <w:r>
              <w:rPr>
                <w:rFonts w:ascii="Times New Roman" w:eastAsia="Times New Roman" w:hAnsi="Times New Roman" w:cs="Times New Roman"/>
              </w:rPr>
              <w:t xml:space="preserve">e développement de services innovants. Etalab conçoit et anime la plateforme transport.data.gouv.fr (Point d’Accès National) qui vise à ouvrir et référencer l’ensemble des données </w:t>
            </w:r>
            <w:proofErr w:type="gramStart"/>
            <w:r>
              <w:rPr>
                <w:rFonts w:ascii="Times New Roman" w:eastAsia="Times New Roman" w:hAnsi="Times New Roman" w:cs="Times New Roman"/>
              </w:rPr>
              <w:t>transports relatives</w:t>
            </w:r>
            <w:proofErr w:type="gramEnd"/>
            <w:r>
              <w:rPr>
                <w:rFonts w:ascii="Times New Roman" w:eastAsia="Times New Roman" w:hAnsi="Times New Roman" w:cs="Times New Roman"/>
              </w:rPr>
              <w:t xml:space="preserve"> à l’information voyageur. </w:t>
            </w:r>
          </w:p>
          <w:p w:rsidR="000F4BC3" w:rsidRDefault="00AD4D99">
            <w:pPr>
              <w:spacing w:line="240" w:lineRule="auto"/>
              <w:ind w:right="-31"/>
              <w:jc w:val="both"/>
              <w:rPr>
                <w:rFonts w:ascii="Times New Roman" w:eastAsia="Times New Roman" w:hAnsi="Times New Roman" w:cs="Times New Roman"/>
              </w:rPr>
            </w:pPr>
            <w:r>
              <w:rPr>
                <w:rFonts w:ascii="Times New Roman" w:eastAsia="Times New Roman" w:hAnsi="Times New Roman" w:cs="Times New Roman"/>
              </w:rPr>
              <w:t>Cette note :</w:t>
            </w:r>
          </w:p>
          <w:p w:rsidR="000F4BC3" w:rsidRDefault="00AD4D99">
            <w:pPr>
              <w:numPr>
                <w:ilvl w:val="0"/>
                <w:numId w:val="3"/>
              </w:numPr>
              <w:spacing w:line="240" w:lineRule="auto"/>
              <w:ind w:right="-31"/>
              <w:jc w:val="both"/>
              <w:rPr>
                <w:sz w:val="24"/>
                <w:szCs w:val="24"/>
              </w:rPr>
            </w:pPr>
            <w:proofErr w:type="gramStart"/>
            <w:r>
              <w:rPr>
                <w:rFonts w:ascii="Times New Roman" w:eastAsia="Times New Roman" w:hAnsi="Times New Roman" w:cs="Times New Roman"/>
              </w:rPr>
              <w:t>récapitule</w:t>
            </w:r>
            <w:proofErr w:type="gramEnd"/>
            <w:r>
              <w:rPr>
                <w:rFonts w:ascii="Times New Roman" w:eastAsia="Times New Roman" w:hAnsi="Times New Roman" w:cs="Times New Roman"/>
              </w:rPr>
              <w:t xml:space="preserve"> les </w:t>
            </w:r>
            <w:r>
              <w:rPr>
                <w:rFonts w:ascii="Times New Roman" w:eastAsia="Times New Roman" w:hAnsi="Times New Roman" w:cs="Times New Roman"/>
              </w:rPr>
              <w:t>résultats positifs en matière d’ouverture des données transport obtenus cette année par Etalab ;</w:t>
            </w:r>
          </w:p>
          <w:p w:rsidR="000F4BC3" w:rsidRDefault="00AD4D99">
            <w:pPr>
              <w:numPr>
                <w:ilvl w:val="0"/>
                <w:numId w:val="3"/>
              </w:numPr>
              <w:spacing w:line="240" w:lineRule="auto"/>
              <w:ind w:right="-31"/>
              <w:jc w:val="both"/>
              <w:rPr>
                <w:sz w:val="24"/>
                <w:szCs w:val="24"/>
              </w:rPr>
            </w:pPr>
            <w:proofErr w:type="gramStart"/>
            <w:r>
              <w:rPr>
                <w:rFonts w:ascii="Times New Roman" w:eastAsia="Times New Roman" w:hAnsi="Times New Roman" w:cs="Times New Roman"/>
              </w:rPr>
              <w:t>alerte</w:t>
            </w:r>
            <w:proofErr w:type="gramEnd"/>
            <w:r>
              <w:rPr>
                <w:rFonts w:ascii="Times New Roman" w:eastAsia="Times New Roman" w:hAnsi="Times New Roman" w:cs="Times New Roman"/>
              </w:rPr>
              <w:t xml:space="preserve"> sur certains risques de limitation des réutilisations : prolifération de licences ad hoc, tarification excessive (en recul de la loi Macron).</w:t>
            </w:r>
          </w:p>
          <w:p w:rsidR="000F4BC3" w:rsidRDefault="00AD4D99">
            <w:pPr>
              <w:spacing w:line="240" w:lineRule="auto"/>
              <w:ind w:right="-31"/>
              <w:jc w:val="both"/>
              <w:rPr>
                <w:rFonts w:ascii="Times New Roman" w:eastAsia="Times New Roman" w:hAnsi="Times New Roman" w:cs="Times New Roman"/>
                <w:sz w:val="24"/>
                <w:szCs w:val="24"/>
              </w:rPr>
            </w:pPr>
            <w:r>
              <w:rPr>
                <w:rFonts w:ascii="Times New Roman" w:eastAsia="Times New Roman" w:hAnsi="Times New Roman" w:cs="Times New Roman"/>
              </w:rPr>
              <w:t>Elle est accompagnée d’éléments de langage pour le comité stratégique du 18 octobre 2018.</w:t>
            </w:r>
          </w:p>
        </w:tc>
      </w:tr>
    </w:tbl>
    <w:p w:rsidR="000F4BC3" w:rsidRDefault="000F4BC3">
      <w:pPr>
        <w:spacing w:line="240" w:lineRule="auto"/>
        <w:ind w:right="-31"/>
        <w:rPr>
          <w:rFonts w:ascii="Times New Roman" w:eastAsia="Times New Roman" w:hAnsi="Times New Roman" w:cs="Times New Roman"/>
          <w:sz w:val="20"/>
          <w:szCs w:val="20"/>
        </w:rPr>
      </w:pPr>
    </w:p>
    <w:p w:rsidR="000F4BC3" w:rsidRDefault="00AD4D99">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b/>
          <w:u w:val="single"/>
        </w:rPr>
        <w:t>Le Point d’Accès National aux données transport, conçu par Etalab, est déjà opérationnel depuis janvier 2018</w:t>
      </w:r>
    </w:p>
    <w:p w:rsidR="000F4BC3" w:rsidRDefault="000F4BC3">
      <w:pPr>
        <w:spacing w:line="240" w:lineRule="auto"/>
        <w:jc w:val="both"/>
        <w:rPr>
          <w:rFonts w:ascii="Times New Roman" w:eastAsia="Times New Roman" w:hAnsi="Times New Roman" w:cs="Times New Roman"/>
        </w:rPr>
      </w:pPr>
    </w:p>
    <w:p w:rsidR="000F4BC3" w:rsidRDefault="00AD4D99">
      <w:pPr>
        <w:spacing w:line="240" w:lineRule="auto"/>
        <w:jc w:val="both"/>
        <w:rPr>
          <w:rFonts w:ascii="Times New Roman" w:eastAsia="Times New Roman" w:hAnsi="Times New Roman" w:cs="Times New Roman"/>
        </w:rPr>
      </w:pPr>
      <w:r>
        <w:rPr>
          <w:rFonts w:ascii="Times New Roman" w:eastAsia="Times New Roman" w:hAnsi="Times New Roman" w:cs="Times New Roman"/>
        </w:rPr>
        <w:t>Le règlement (UE) n° 2017/1926 du 31 mai 2017 sur la m</w:t>
      </w:r>
      <w:r>
        <w:rPr>
          <w:rFonts w:ascii="Times New Roman" w:eastAsia="Times New Roman" w:hAnsi="Times New Roman" w:cs="Times New Roman"/>
        </w:rPr>
        <w:t xml:space="preserve">ise à disposition, dans l'ensemble de l'Union, de services d'informations sur les déplacements multimodaux impose la mise en place dans chaque État membre d’un Point d’Accès National (PAN), interface numérique pour recenser les données ouvertes concernant </w:t>
      </w:r>
      <w:r>
        <w:rPr>
          <w:rFonts w:ascii="Times New Roman" w:eastAsia="Times New Roman" w:hAnsi="Times New Roman" w:cs="Times New Roman"/>
        </w:rPr>
        <w:t>les déplacements, afin de faciliter leur réutilisation et d’améliorer l’information voyageur pour faciliter le parcours des usagers lors de leurs trajets et assurer une mobilité fluide. L’ouverture des données constitue la première brique au déploiement de</w:t>
      </w:r>
      <w:r>
        <w:rPr>
          <w:rFonts w:ascii="Times New Roman" w:eastAsia="Times New Roman" w:hAnsi="Times New Roman" w:cs="Times New Roman"/>
        </w:rPr>
        <w:t xml:space="preserve"> services de mobilité complets d’un point A à un point B, incluant plusieurs types de transports, dans tous les territoires français (</w:t>
      </w:r>
      <w:proofErr w:type="spellStart"/>
      <w:r>
        <w:rPr>
          <w:rFonts w:ascii="Times New Roman" w:eastAsia="Times New Roman" w:hAnsi="Times New Roman" w:cs="Times New Roman"/>
          <w:i/>
        </w:rPr>
        <w:t>MaaS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i/>
        </w:rPr>
        <w:t>Mobility</w:t>
      </w:r>
      <w:proofErr w:type="spellEnd"/>
      <w:r>
        <w:rPr>
          <w:rFonts w:ascii="Times New Roman" w:eastAsia="Times New Roman" w:hAnsi="Times New Roman" w:cs="Times New Roman"/>
          <w:i/>
        </w:rPr>
        <w:t xml:space="preserve"> as </w:t>
      </w:r>
      <w:proofErr w:type="gramStart"/>
      <w:r>
        <w:rPr>
          <w:rFonts w:ascii="Times New Roman" w:eastAsia="Times New Roman" w:hAnsi="Times New Roman" w:cs="Times New Roman"/>
          <w:i/>
        </w:rPr>
        <w:t>a</w:t>
      </w:r>
      <w:proofErr w:type="gramEnd"/>
      <w:r>
        <w:rPr>
          <w:rFonts w:ascii="Times New Roman" w:eastAsia="Times New Roman" w:hAnsi="Times New Roman" w:cs="Times New Roman"/>
          <w:i/>
        </w:rPr>
        <w:t xml:space="preserve"> Service</w:t>
      </w:r>
      <w:r>
        <w:rPr>
          <w:rFonts w:ascii="Times New Roman" w:eastAsia="Times New Roman" w:hAnsi="Times New Roman" w:cs="Times New Roman"/>
        </w:rPr>
        <w:t>).</w:t>
      </w:r>
    </w:p>
    <w:p w:rsidR="000F4BC3" w:rsidRDefault="000F4BC3">
      <w:pPr>
        <w:spacing w:line="240" w:lineRule="auto"/>
        <w:jc w:val="both"/>
        <w:rPr>
          <w:rFonts w:ascii="Times New Roman" w:eastAsia="Times New Roman" w:hAnsi="Times New Roman" w:cs="Times New Roman"/>
        </w:rPr>
      </w:pPr>
    </w:p>
    <w:p w:rsidR="000F4BC3" w:rsidRDefault="00AD4D99">
      <w:pPr>
        <w:spacing w:line="240" w:lineRule="auto"/>
        <w:jc w:val="both"/>
        <w:rPr>
          <w:rFonts w:ascii="Times New Roman" w:eastAsia="Times New Roman" w:hAnsi="Times New Roman" w:cs="Times New Roman"/>
        </w:rPr>
      </w:pPr>
      <w:r>
        <w:rPr>
          <w:rFonts w:ascii="Times New Roman" w:eastAsia="Times New Roman" w:hAnsi="Times New Roman" w:cs="Times New Roman"/>
        </w:rPr>
        <w:t>En France, le Ministère chargé des transports a confié à Etalab la construction du PAN, ac</w:t>
      </w:r>
      <w:r>
        <w:rPr>
          <w:rFonts w:ascii="Times New Roman" w:eastAsia="Times New Roman" w:hAnsi="Times New Roman" w:cs="Times New Roman"/>
        </w:rPr>
        <w:t>cessible à transport.data.gouv.fr depuis janvier 2018. La démarche, fortement collaborative, a permis de lever les freins juridiques, techniques et opérationnels à l’ouverture et réunit d’ores-et-déjà 56 autorités organisatrices de mobilité et 3 régions, q</w:t>
      </w:r>
      <w:r>
        <w:rPr>
          <w:rFonts w:ascii="Times New Roman" w:eastAsia="Times New Roman" w:hAnsi="Times New Roman" w:cs="Times New Roman"/>
        </w:rPr>
        <w:t>ui ont déjà publié les données décrivant leur réseau de transport public en open data. Etalab fournit ainsi un accompagnement complet à chaque producteur de données transport pour accélérer l’ouverture des données au bénéfice des usagers.</w:t>
      </w:r>
    </w:p>
    <w:p w:rsidR="000F4BC3" w:rsidRDefault="000F4BC3">
      <w:pPr>
        <w:spacing w:line="240" w:lineRule="auto"/>
        <w:jc w:val="both"/>
        <w:rPr>
          <w:rFonts w:ascii="Times New Roman" w:eastAsia="Times New Roman" w:hAnsi="Times New Roman" w:cs="Times New Roman"/>
        </w:rPr>
      </w:pPr>
    </w:p>
    <w:p w:rsidR="000F4BC3" w:rsidRDefault="00AD4D99">
      <w:pPr>
        <w:spacing w:line="240" w:lineRule="auto"/>
        <w:jc w:val="both"/>
        <w:rPr>
          <w:rFonts w:ascii="Times New Roman" w:eastAsia="Times New Roman" w:hAnsi="Times New Roman" w:cs="Times New Roman"/>
        </w:rPr>
      </w:pPr>
      <w:r>
        <w:rPr>
          <w:rFonts w:ascii="Times New Roman" w:eastAsia="Times New Roman" w:hAnsi="Times New Roman" w:cs="Times New Roman"/>
        </w:rPr>
        <w:t>Grâce à cette ou</w:t>
      </w:r>
      <w:r>
        <w:rPr>
          <w:rFonts w:ascii="Times New Roman" w:eastAsia="Times New Roman" w:hAnsi="Times New Roman" w:cs="Times New Roman"/>
        </w:rPr>
        <w:t>verture, des services de mobilité innovants ont pu se déployer dans des territoires où les usagers ne pouvaient auparavant pas télécharger d’application grand public pour se déplacer (exemple : l’application de planification de trajet Transit s’est déployé</w:t>
      </w:r>
      <w:r>
        <w:rPr>
          <w:rFonts w:ascii="Times New Roman" w:eastAsia="Times New Roman" w:hAnsi="Times New Roman" w:cs="Times New Roman"/>
        </w:rPr>
        <w:t xml:space="preserve">e à Figeac dans le Lot en septembre 2018 ; le service </w:t>
      </w:r>
      <w:proofErr w:type="spellStart"/>
      <w:r>
        <w:rPr>
          <w:rFonts w:ascii="Times New Roman" w:eastAsia="Times New Roman" w:hAnsi="Times New Roman" w:cs="Times New Roman"/>
        </w:rPr>
        <w:t>Handisco</w:t>
      </w:r>
      <w:proofErr w:type="spellEnd"/>
      <w:r>
        <w:rPr>
          <w:rFonts w:ascii="Times New Roman" w:eastAsia="Times New Roman" w:hAnsi="Times New Roman" w:cs="Times New Roman"/>
        </w:rPr>
        <w:t xml:space="preserve">, qui fournit des services de mobilité aux personnes déficientes visuelles, a pu se déployer dans plus de 20 nouvelles agglomérations grâce à l’ouverture des données). </w:t>
      </w:r>
    </w:p>
    <w:p w:rsidR="000F4BC3" w:rsidRDefault="00AD4D99">
      <w:pPr>
        <w:spacing w:line="240" w:lineRule="auto"/>
        <w:jc w:val="both"/>
        <w:rPr>
          <w:rFonts w:ascii="Times New Roman" w:eastAsia="Times New Roman" w:hAnsi="Times New Roman" w:cs="Times New Roman"/>
        </w:rPr>
      </w:pPr>
      <w:r>
        <w:rPr>
          <w:rFonts w:ascii="Times New Roman" w:eastAsia="Times New Roman" w:hAnsi="Times New Roman" w:cs="Times New Roman"/>
        </w:rPr>
        <w:t>Etalab poursuit à présent</w:t>
      </w:r>
      <w:r>
        <w:rPr>
          <w:rFonts w:ascii="Times New Roman" w:eastAsia="Times New Roman" w:hAnsi="Times New Roman" w:cs="Times New Roman"/>
        </w:rPr>
        <w:t xml:space="preserve"> ses travaux sur l’ouverture des données temps réel et les autres modes de transport : autopartage et vélos libre-service, </w:t>
      </w:r>
      <w:proofErr w:type="spellStart"/>
      <w:r>
        <w:rPr>
          <w:rFonts w:ascii="Times New Roman" w:eastAsia="Times New Roman" w:hAnsi="Times New Roman" w:cs="Times New Roman"/>
        </w:rPr>
        <w:t>freefloating</w:t>
      </w:r>
      <w:proofErr w:type="spellEnd"/>
      <w:r>
        <w:rPr>
          <w:rFonts w:ascii="Times New Roman" w:eastAsia="Times New Roman" w:hAnsi="Times New Roman" w:cs="Times New Roman"/>
        </w:rPr>
        <w:t xml:space="preserve">, transport longue distance. L’équipe s’attaquera aux données routières et de voirie (stationnement, circulation,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dé</w:t>
      </w:r>
      <w:r>
        <w:rPr>
          <w:rFonts w:ascii="Times New Roman" w:eastAsia="Times New Roman" w:hAnsi="Times New Roman" w:cs="Times New Roman"/>
        </w:rPr>
        <w:t xml:space="preserve">but 2019. </w:t>
      </w:r>
    </w:p>
    <w:p w:rsidR="000F4BC3" w:rsidRDefault="000F4BC3">
      <w:pPr>
        <w:spacing w:line="240" w:lineRule="auto"/>
        <w:jc w:val="both"/>
        <w:rPr>
          <w:rFonts w:ascii="Times New Roman" w:eastAsia="Times New Roman" w:hAnsi="Times New Roman" w:cs="Times New Roman"/>
          <w:sz w:val="20"/>
          <w:szCs w:val="20"/>
        </w:rPr>
      </w:pPr>
    </w:p>
    <w:p w:rsidR="000F4BC3" w:rsidRDefault="00AD4D9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2. </w:t>
      </w:r>
      <w:r>
        <w:rPr>
          <w:rFonts w:ascii="Times New Roman" w:eastAsia="Times New Roman" w:hAnsi="Times New Roman" w:cs="Times New Roman"/>
          <w:b/>
          <w:u w:val="single"/>
        </w:rPr>
        <w:t>Il existe des risques de restrictions à la libre réutilisation des données, indépendamment du cadre juridique encore ouvert du projet de loi d’orientation des mobilités qui permet une large marge de manœuvre en matière de conditions d’accès et de réutilisa</w:t>
      </w:r>
      <w:r>
        <w:rPr>
          <w:rFonts w:ascii="Times New Roman" w:eastAsia="Times New Roman" w:hAnsi="Times New Roman" w:cs="Times New Roman"/>
          <w:b/>
          <w:u w:val="single"/>
        </w:rPr>
        <w:t>tion des données.</w:t>
      </w:r>
    </w:p>
    <w:p w:rsidR="000F4BC3" w:rsidRDefault="00AD4D99">
      <w:pPr>
        <w:shd w:val="clear" w:color="auto" w:fill="FFFFFF"/>
        <w:spacing w:before="280" w:after="28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La politique d’ouverture des données ne peut être menée que si les restrictions à la réutilisation de celles-ci sont les plus faibles possibles. En particulier, la cohabitation de plusieurs régimes juridiques différents pour la réutilisat</w:t>
      </w:r>
      <w:r>
        <w:rPr>
          <w:rFonts w:ascii="Times New Roman" w:eastAsia="Times New Roman" w:hAnsi="Times New Roman" w:cs="Times New Roman"/>
          <w:color w:val="222222"/>
        </w:rPr>
        <w:t xml:space="preserve">ion des données est un frein majeur à la réutilisation (insécurité pour les </w:t>
      </w:r>
      <w:proofErr w:type="spellStart"/>
      <w:r>
        <w:rPr>
          <w:rFonts w:ascii="Times New Roman" w:eastAsia="Times New Roman" w:hAnsi="Times New Roman" w:cs="Times New Roman"/>
          <w:color w:val="222222"/>
        </w:rPr>
        <w:t>réutilisateurs</w:t>
      </w:r>
      <w:proofErr w:type="spellEnd"/>
      <w:r>
        <w:rPr>
          <w:rFonts w:ascii="Times New Roman" w:eastAsia="Times New Roman" w:hAnsi="Times New Roman" w:cs="Times New Roman"/>
          <w:color w:val="222222"/>
        </w:rPr>
        <w:t xml:space="preserve">) et empêche la diffusion </w:t>
      </w:r>
      <w:proofErr w:type="gramStart"/>
      <w:r>
        <w:rPr>
          <w:rFonts w:ascii="Times New Roman" w:eastAsia="Times New Roman" w:hAnsi="Times New Roman" w:cs="Times New Roman"/>
          <w:color w:val="222222"/>
        </w:rPr>
        <w:t>la plus large possible</w:t>
      </w:r>
      <w:proofErr w:type="gramEnd"/>
      <w:r>
        <w:rPr>
          <w:rFonts w:ascii="Times New Roman" w:eastAsia="Times New Roman" w:hAnsi="Times New Roman" w:cs="Times New Roman"/>
          <w:color w:val="222222"/>
        </w:rPr>
        <w:t xml:space="preserve"> de l'information voyageur au détriment des usagers.</w:t>
      </w:r>
    </w:p>
    <w:p w:rsidR="000F4BC3" w:rsidRDefault="00AD4D99">
      <w:pPr>
        <w:shd w:val="clear" w:color="auto" w:fill="FFFFFF"/>
        <w:spacing w:before="280" w:after="28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Etalab a mené une concertation avec l’intégralité des partenaires</w:t>
      </w:r>
      <w:r>
        <w:rPr>
          <w:rFonts w:ascii="Times New Roman" w:eastAsia="Times New Roman" w:hAnsi="Times New Roman" w:cs="Times New Roman"/>
          <w:color w:val="222222"/>
        </w:rPr>
        <w:t xml:space="preserve"> du PAN pour assurer la bonne application du cadre de la loi pour une République numérique au champ des transports, qui définit déjà 2 licences qui sont compatibles avec le règlement européen 2017/1926. D’ores-et-déjà, 56 autorités organisatrices de la mob</w:t>
      </w:r>
      <w:r>
        <w:rPr>
          <w:rFonts w:ascii="Times New Roman" w:eastAsia="Times New Roman" w:hAnsi="Times New Roman" w:cs="Times New Roman"/>
          <w:color w:val="222222"/>
        </w:rPr>
        <w:t xml:space="preserve">ilité et 3 régions sont déjà alignés sur ces principes. Pour l’instant, seul la Métropole du Grand Lyon s’inscrit dans une démarche divergente. </w:t>
      </w:r>
    </w:p>
    <w:p w:rsidR="000F4BC3" w:rsidRDefault="00AD4D99">
      <w:pPr>
        <w:shd w:val="clear" w:color="auto" w:fill="FFFFFF"/>
        <w:spacing w:before="280" w:after="28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À notre sens il faut un régime clair, sécurisant, et aujourd’hui le régime général de la loi pour une Républiqu</w:t>
      </w:r>
      <w:r>
        <w:rPr>
          <w:rFonts w:ascii="Times New Roman" w:eastAsia="Times New Roman" w:hAnsi="Times New Roman" w:cs="Times New Roman"/>
          <w:color w:val="222222"/>
        </w:rPr>
        <w:t xml:space="preserve">e numérique est pleinement adapté à la problématique. Ce positionnement a été partagé avec le Ministère chargé des Transports. Il est important d’assurer que la mission Etalab demeure le pilote de cette politique et soit associée à la DGITM pour s’assurer </w:t>
      </w:r>
      <w:r>
        <w:rPr>
          <w:rFonts w:ascii="Times New Roman" w:eastAsia="Times New Roman" w:hAnsi="Times New Roman" w:cs="Times New Roman"/>
          <w:color w:val="222222"/>
        </w:rPr>
        <w:t>de l’existence d’un cadre juridique cohérent, pour tout type de données (transport, énergie et données publiques en général).</w:t>
      </w:r>
    </w:p>
    <w:p w:rsidR="000F4BC3" w:rsidRDefault="00AD4D99">
      <w:pPr>
        <w:shd w:val="clear" w:color="auto" w:fill="FFFFFF"/>
        <w:spacing w:before="280" w:after="280" w:line="240" w:lineRule="auto"/>
        <w:jc w:val="both"/>
      </w:pPr>
      <w:r>
        <w:rPr>
          <w:rFonts w:ascii="Times New Roman" w:eastAsia="Times New Roman" w:hAnsi="Times New Roman" w:cs="Times New Roman"/>
          <w:color w:val="222222"/>
        </w:rPr>
        <w:t>Dans la même perspective, il importe de conforter la logique de gratuité pour la réutilisation (qui constitue le cadre français en</w:t>
      </w:r>
      <w:r>
        <w:rPr>
          <w:rFonts w:ascii="Times New Roman" w:eastAsia="Times New Roman" w:hAnsi="Times New Roman" w:cs="Times New Roman"/>
          <w:color w:val="222222"/>
        </w:rPr>
        <w:t xml:space="preserve"> matière d’ouverture de données), ce que permet d’ailleurs le cadre de la LOM.</w:t>
      </w:r>
    </w:p>
    <w:p w:rsidR="000F4BC3" w:rsidRDefault="000F4BC3"/>
    <w:p w:rsidR="000F4BC3" w:rsidRDefault="000F4BC3"/>
    <w:p w:rsidR="000F4BC3" w:rsidRDefault="000F4BC3"/>
    <w:p w:rsidR="000F4BC3" w:rsidRDefault="000F4BC3"/>
    <w:p w:rsidR="000F4BC3" w:rsidRDefault="000F4BC3"/>
    <w:p w:rsidR="000F4BC3" w:rsidRDefault="000F4BC3"/>
    <w:sectPr w:rsidR="000F4BC3">
      <w:pgSz w:w="11909" w:h="16834"/>
      <w:pgMar w:top="1133" w:right="1440" w:bottom="11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67B"/>
    <w:multiLevelType w:val="multilevel"/>
    <w:tmpl w:val="AE349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52BE"/>
    <w:multiLevelType w:val="multilevel"/>
    <w:tmpl w:val="F774CB6E"/>
    <w:lvl w:ilvl="0">
      <w:start w:val="4"/>
      <w:numFmt w:val="bullet"/>
      <w:lvlText w:val="-"/>
      <w:lvlJc w:val="left"/>
      <w:pPr>
        <w:ind w:left="720" w:hanging="360"/>
      </w:pPr>
      <w:rPr>
        <w:rFonts w:ascii="Times New Roman" w:eastAsia="Times New Roman" w:hAnsi="Times New Roman" w:cs="Times New Roman"/>
        <w:color w:val="000000"/>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2351ED2"/>
    <w:multiLevelType w:val="multilevel"/>
    <w:tmpl w:val="29DAD76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7CBD2F8F"/>
    <w:multiLevelType w:val="multilevel"/>
    <w:tmpl w:val="729A0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BC3"/>
    <w:rsid w:val="000F4BC3"/>
    <w:rsid w:val="00AD4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1745E-A852-4BF5-BEA7-0EB562D8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han@beta.gouv.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1264</Words>
  <Characters>6952</Characters>
  <Application>Microsoft Office Word</Application>
  <DocSecurity>0</DocSecurity>
  <Lines>57</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Ordinateur1.beta</cp:lastModifiedBy>
  <cp:revision>2</cp:revision>
  <dcterms:created xsi:type="dcterms:W3CDTF">2020-11-27T14:12:00Z</dcterms:created>
  <dcterms:modified xsi:type="dcterms:W3CDTF">2020-11-27T14:12:00Z</dcterms:modified>
</cp:coreProperties>
</file>