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i:dateline"/>
        <w:spacing w:line="360" w:lineRule="auto"/>
      </w:pPr>
      <w:r>
        <w:rPr>
          <w:rStyle w:val="placeName"/>
          <w:rtl w:val="0"/>
          <w:lang w:val="it-IT"/>
        </w:rPr>
        <w:t>Roma</w:t>
      </w:r>
      <w:r>
        <w:rPr>
          <w:rtl w:val="0"/>
        </w:rPr>
        <w:t xml:space="preserve">, </w:t>
      </w:r>
      <w:r>
        <w:rPr>
          <w:rStyle w:val="date"/>
          <w:rtl w:val="0"/>
          <w:lang w:val="pt-PT"/>
        </w:rPr>
        <w:t>11 novembris 1400</w:t>
      </w:r>
      <w:r>
        <w:rPr>
          <w:rStyle w:val="date"/>
          <w:rtl w:val="0"/>
        </w:rPr>
        <w:t>&lt;1400-11-11&gt;</w:t>
      </w:r>
    </w:p>
    <w:p>
      <w:pPr>
        <w:pStyle w:val="mv:from"/>
        <w:bidi w:val="0"/>
      </w:pPr>
      <w:r>
        <w:rPr>
          <w:rtl w:val="0"/>
        </w:rPr>
        <w:t>Papie</w:t>
      </w:r>
      <w:r>
        <w:rPr>
          <w:rtl w:val="0"/>
        </w:rPr>
        <w:t xml:space="preserve">ż </w:t>
      </w:r>
      <w:r>
        <w:rPr>
          <w:rtl w:val="0"/>
        </w:rPr>
        <w:t>Bonifacy IX</w:t>
      </w:r>
    </w:p>
    <w:p>
      <w:pPr>
        <w:pStyle w:val="tei:witness"/>
        <w:bidi w:val="0"/>
      </w:pPr>
      <w:r>
        <w:rPr>
          <w:rStyle w:val="mv:witnessType"/>
          <w:rtl w:val="0"/>
        </w:rPr>
        <w:t>cop</w:t>
      </w:r>
      <w:r>
        <w:rPr>
          <w:rtl w:val="0"/>
        </w:rPr>
        <w:t xml:space="preserve">.: </w:t>
      </w:r>
      <w:r>
        <w:rPr>
          <w:rStyle w:val="tei:repository"/>
          <w:b w:val="1"/>
          <w:bCs w:val="1"/>
          <w:rtl w:val="0"/>
        </w:rPr>
        <w:t>ASV</w:t>
      </w:r>
      <w:r>
        <w:rPr>
          <w:rtl w:val="0"/>
        </w:rPr>
        <w:t xml:space="preserve">, </w:t>
      </w:r>
      <w:r>
        <w:rPr>
          <w:rStyle w:val="tei:msName"/>
          <w:rtl w:val="0"/>
        </w:rPr>
        <w:t>Reg. Lat.</w:t>
      </w:r>
      <w:r>
        <w:rPr>
          <w:rtl w:val="0"/>
        </w:rPr>
        <w:t xml:space="preserve">, </w:t>
      </w:r>
      <w:r>
        <w:rPr>
          <w:rStyle w:val="mv:volume"/>
          <w:rtl w:val="0"/>
        </w:rPr>
        <w:t>vol. 87</w:t>
      </w:r>
      <w:r>
        <w:rPr>
          <w:rtl w:val="0"/>
        </w:rPr>
        <w:t xml:space="preserve">, </w:t>
      </w:r>
      <w:r>
        <w:rPr>
          <w:rStyle w:val="mv:pages"/>
          <w:rtl w:val="0"/>
        </w:rPr>
        <w:t>f. 190v-191r (or. f. CXC-CXCI)</w:t>
      </w:r>
      <w:r>
        <w:tab/>
        <w:tab/>
        <w:tab/>
      </w:r>
    </w:p>
    <w:p>
      <w:pPr>
        <w:pStyle w:val="tei:witness"/>
        <w:bidi w:val="0"/>
      </w:pPr>
      <w:r>
        <w:rPr>
          <w:rStyle w:val="mv:witnessType"/>
          <w:rtl w:val="0"/>
        </w:rPr>
        <w:t>reg</w:t>
      </w:r>
      <w:r>
        <w:rPr>
          <w:rtl w:val="0"/>
        </w:rPr>
        <w:t xml:space="preserve">.: </w:t>
      </w:r>
      <w:r>
        <w:rPr>
          <w:rStyle w:val="tei:repository"/>
          <w:rtl w:val="0"/>
        </w:rPr>
        <w:t>RG</w:t>
      </w:r>
      <w:r>
        <w:rPr>
          <w:rtl w:val="0"/>
        </w:rPr>
        <w:t xml:space="preserve"> </w:t>
      </w:r>
      <w:r>
        <w:rPr>
          <w:rStyle w:val="mv:volume"/>
          <w:rtl w:val="0"/>
        </w:rPr>
        <w:t>2</w:t>
      </w:r>
      <w:r>
        <w:rPr>
          <w:rtl w:val="0"/>
          <w:lang w:val="de-DE"/>
        </w:rPr>
        <w:t xml:space="preserve"> (Johannes Johannis de Cznaym) </w:t>
      </w:r>
    </w:p>
    <w:p>
      <w:pPr>
        <w:pStyle w:val="tei:witness"/>
        <w:bidi w:val="0"/>
      </w:pPr>
      <w:r>
        <w:rPr>
          <w:rStyle w:val="mv:witnessType"/>
          <w:rtl w:val="0"/>
        </w:rPr>
        <w:t>ed</w:t>
      </w:r>
      <w:r>
        <w:rPr>
          <w:rtl w:val="0"/>
        </w:rPr>
        <w:t xml:space="preserve">.: </w:t>
      </w:r>
      <w:r>
        <w:rPr>
          <w:rStyle w:val="tei:repository"/>
          <w:rtl w:val="0"/>
          <w:lang w:val="en-US"/>
        </w:rPr>
        <w:t>MVB</w:t>
      </w:r>
      <w:r>
        <w:rPr>
          <w:rtl w:val="0"/>
        </w:rPr>
        <w:t xml:space="preserve"> </w:t>
      </w:r>
      <w:r>
        <w:rPr>
          <w:rStyle w:val="mv:volume"/>
          <w:rtl w:val="0"/>
        </w:rPr>
        <w:t>5</w:t>
      </w:r>
      <w:r>
        <w:rPr>
          <w:rtl w:val="0"/>
        </w:rPr>
        <w:t xml:space="preserve">, </w:t>
      </w:r>
      <w:r>
        <w:rPr>
          <w:rStyle w:val="mv:pages"/>
          <w:rtl w:val="0"/>
        </w:rPr>
        <w:t>nr 1664</w:t>
      </w:r>
    </w:p>
    <w:p>
      <w:pPr>
        <w:pStyle w:val="tei:abstract"/>
        <w:bidi w:val="0"/>
      </w:pPr>
    </w:p>
    <w:p>
      <w:pPr>
        <w:pStyle w:val="tei:abstract"/>
        <w:bidi w:val="0"/>
      </w:pPr>
      <w:r>
        <w:rPr>
          <w:rFonts w:cs="Arial Unicode MS" w:eastAsia="Arial Unicode MS"/>
          <w:rtl w:val="0"/>
          <w:lang w:val="de-DE"/>
        </w:rPr>
        <w:t>Papie</w:t>
      </w:r>
      <w:r>
        <w:rPr>
          <w:rFonts w:cs="Arial Unicode MS" w:eastAsia="Arial Unicode MS" w:hint="default"/>
          <w:rtl w:val="0"/>
        </w:rPr>
        <w:t xml:space="preserve">ż </w:t>
      </w:r>
      <w:r>
        <w:rPr>
          <w:rFonts w:cs="Arial Unicode MS" w:eastAsia="Arial Unicode MS"/>
          <w:rtl w:val="0"/>
        </w:rPr>
        <w:t>Bonifacy IX udziela Janowi synowi Jana z Cznarina pozwolenia na</w:t>
      </w:r>
      <w:r>
        <w:rPr>
          <w:rFonts w:cs="Arial Unicode MS" w:eastAsia="Arial Unicode MS"/>
          <w:rtl w:val="0"/>
        </w:rPr>
        <w:t xml:space="preserve"> </w:t>
      </w:r>
      <w:r>
        <w:rPr>
          <w:rFonts w:cs="Arial Unicode MS" w:eastAsia="Arial Unicode MS"/>
          <w:rtl w:val="0"/>
        </w:rPr>
        <w:t>pi</w:t>
      </w:r>
      <w:r>
        <w:rPr>
          <w:rFonts w:cs="Arial Unicode MS" w:eastAsia="Arial Unicode MS" w:hint="default"/>
          <w:rtl w:val="0"/>
        </w:rPr>
        <w:t>ę</w:t>
      </w:r>
      <w:r>
        <w:rPr>
          <w:rFonts w:cs="Arial Unicode MS" w:eastAsia="Arial Unicode MS"/>
          <w:rtl w:val="0"/>
        </w:rPr>
        <w:t>cioletni pobyt poza klasztorem w celu odbycia studi</w:t>
      </w:r>
      <w:r>
        <w:rPr>
          <w:rFonts w:cs="Arial Unicode MS" w:eastAsia="Arial Unicode MS" w:hint="default"/>
          <w:rtl w:val="0"/>
          <w:lang w:val="es-ES_tradnl"/>
        </w:rPr>
        <w:t>ó</w:t>
      </w:r>
      <w:r>
        <w:rPr>
          <w:rFonts w:cs="Arial Unicode MS" w:eastAsia="Arial Unicode MS"/>
          <w:rtl w:val="0"/>
        </w:rPr>
        <w:t>w.</w:t>
      </w:r>
    </w:p>
    <w:p>
      <w:pPr>
        <w:pStyle w:val="Body"/>
        <w:spacing w:line="360" w:lineRule="auto"/>
      </w:pPr>
    </w:p>
    <w:p>
      <w:pPr>
        <w:pStyle w:val="Body"/>
        <w:spacing w:line="360" w:lineRule="auto"/>
      </w:pPr>
      <w:r>
        <w:rPr>
          <w:rStyle w:val="tei:pb"/>
          <w:rtl w:val="0"/>
        </w:rPr>
        <w:t>/190v/</w:t>
      </w:r>
      <w:r>
        <w:rPr>
          <w:rtl w:val="0"/>
        </w:rPr>
        <w:t xml:space="preserve"> </w:t>
      </w:r>
      <w:r>
        <w:rPr>
          <w:rStyle w:val="hand"/>
          <w:rtl w:val="0"/>
        </w:rPr>
        <w:t>[m.s.]</w:t>
      </w:r>
      <w:r>
        <w:rPr>
          <w:rtl w:val="0"/>
          <w:lang w:val="pt-PT"/>
        </w:rPr>
        <w:t xml:space="preserve"> A(ntonius) de Portug(ruario)</w:t>
      </w:r>
    </w:p>
    <w:p>
      <w:pPr>
        <w:pStyle w:val="Body"/>
        <w:spacing w:line="360" w:lineRule="auto"/>
      </w:pPr>
    </w:p>
    <w:p>
      <w:pPr>
        <w:pStyle w:val="Body"/>
        <w:spacing w:line="360" w:lineRule="auto"/>
      </w:pPr>
      <w:r>
        <w:rPr>
          <w:rtl w:val="0"/>
        </w:rPr>
        <w:t xml:space="preserve">Bonifacius etc., dilecto filio Iohannis Iohannis de Cznarin, canonico monastarii Beate Marie Virginis in Arena prope </w:t>
      </w:r>
      <w:r>
        <w:rPr>
          <w:rStyle w:val="placeName"/>
          <w:rtl w:val="0"/>
        </w:rPr>
        <w:t>Wratislauiam</w:t>
      </w:r>
      <w:r>
        <w:rPr>
          <w:rtl w:val="0"/>
          <w:lang w:val="it-IT"/>
        </w:rPr>
        <w:t xml:space="preserve">, Ordinis sancti Augustini, salutem etc. Religionis zelus, vite ac morum honestas aliaque laudabilia probitatis et virtutum merita, super quibus apud nos fidedigno commendaris testimonio, nos inducunt, ut ea tibi favorabiliter concedamus, que tuis commoditatibus conspicimus oportuna. Exhibita siquidem nobis nuper pro parte tua peticio continebat, quod tu in monasterio Beate Marie Virginis in Arena prope Wratislauiam Ordinis Sancti Augustini, cuius canonicus professus existis, ex certis causis et tui animi quiete remanere non possis ac cupias te ad studium in loco, ubi illud vigeat generale, transferre vel ad servicium alicuius religiosi aut secularis domini ponere, nec queas tui abbatis dicti monasterii ad hoc licenciam obtinere, pro parte tua nobis fuit humiliter supplicatum, ut tibi, quod hoc facere possis, licenciam concedere de benignitate apostolica dignaremur. Nos vocis tuis in hac parte favorabiliter annuentes tibi, ut ad studium transferre ac ad servicium huiusmodi ad quinquennium a data presencium computandum te ponere valeas, tui abbatis dicti monasterii vel alterius cuiuscumque super hoc licencia non requisite nec habita, constitucionibus apostolicis ac statutis </w:t>
      </w:r>
      <w:r>
        <w:rPr>
          <w:rStyle w:val="tei:pb"/>
          <w:rtl w:val="0"/>
        </w:rPr>
        <w:t>/191r/</w:t>
      </w:r>
      <w:r>
        <w:rPr>
          <w:rtl w:val="0"/>
          <w:lang w:val="it-IT"/>
        </w:rPr>
        <w:t xml:space="preserve"> et consuetudinibus ordinis et monasterii predictorum et aliis non obstantibus quibuscumque auctoritate apostolica tenore presencium indulgemus. Nulli ergo etc. nostre concessionis infringere etc. Si quis autem etc. Datum </w:t>
      </w:r>
      <w:r>
        <w:rPr>
          <w:rStyle w:val="placeName"/>
          <w:rtl w:val="0"/>
          <w:lang w:val="it-IT"/>
        </w:rPr>
        <w:t>Rome</w:t>
      </w:r>
      <w:r>
        <w:rPr>
          <w:rtl w:val="0"/>
        </w:rPr>
        <w:t xml:space="preserve"> apud Sanctum Petrum, </w:t>
      </w:r>
      <w:r>
        <w:rPr>
          <w:rStyle w:val="date"/>
          <w:rtl w:val="0"/>
          <w:lang w:val="it-IT"/>
        </w:rPr>
        <w:t>tercio idus novembris, anno duodecimo</w:t>
      </w:r>
      <w:r>
        <w:rPr>
          <w:rStyle w:val="date"/>
          <w:rtl w:val="0"/>
        </w:rPr>
        <w:t>&lt;1400-11-11&gt;</w:t>
      </w:r>
      <w:r>
        <w:rPr>
          <w:rtl w:val="0"/>
        </w:rPr>
        <w:t xml:space="preserve">. </w:t>
      </w:r>
      <w:r>
        <w:rPr>
          <w:rStyle w:val="hand"/>
          <w:rtl w:val="0"/>
        </w:rPr>
        <w:t>[alia manu:]</w:t>
      </w:r>
      <w:r>
        <w:rPr>
          <w:rtl w:val="0"/>
        </w:rPr>
        <w:t xml:space="preserve"> N(icolaus). XVIII. de Ben(event)to. </w:t>
      </w:r>
    </w:p>
    <w:p>
      <w:pPr>
        <w:pStyle w:val="Body"/>
        <w:spacing w:line="360" w:lineRule="auto"/>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i:dateline">
    <w:name w:val="tei:dateline"/>
    <w:next w:val="tei:dateline"/>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6"/>
      <w:szCs w:val="26"/>
      <w:u w:val="none"/>
      <w:vertAlign w:val="baseline"/>
      <w:lang w:val="it-IT"/>
    </w:rPr>
  </w:style>
  <w:style w:type="character" w:styleId="placeName">
    <w:name w:val="placeName"/>
    <w:rPr>
      <w:color w:val="0075b9"/>
      <w:lang w:val="it-IT"/>
    </w:rPr>
  </w:style>
  <w:style w:type="character" w:styleId="date">
    <w:name w:val="date"/>
    <w:rPr>
      <w:color w:val="c82505"/>
      <w:lang w:val="pt-PT"/>
    </w:rPr>
  </w:style>
  <w:style w:type="paragraph" w:styleId="mv:from">
    <w:name w:val="mv:from"/>
    <w:next w:val="mv:from"/>
    <w:pPr>
      <w:keepNext w:val="0"/>
      <w:keepLines w:val="0"/>
      <w:pageBreakBefore w:val="0"/>
      <w:widowControl w:val="1"/>
      <w:shd w:val="clear" w:color="auto" w:fill="auto"/>
      <w:suppressAutoHyphens w:val="0"/>
      <w:bidi w:val="0"/>
      <w:spacing w:before="0" w:after="0" w:line="36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vertAlign w:val="baseline"/>
      <w:lang w:val="de-DE"/>
    </w:rPr>
  </w:style>
  <w:style w:type="paragraph" w:styleId="tei:witness">
    <w:name w:val="tei:witness"/>
    <w:next w:val="tei:witness"/>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vertAlign w:val="baseline"/>
      <w:lang w:val="it-IT"/>
    </w:rPr>
  </w:style>
  <w:style w:type="character" w:styleId="mv:witnessType">
    <w:name w:val="mv:witnessType"/>
    <w:rPr>
      <w:i w:val="0"/>
      <w:iCs w:val="0"/>
      <w:u w:val="single"/>
      <w:lang w:val="it-IT"/>
    </w:rPr>
  </w:style>
  <w:style w:type="character" w:styleId="tei:repository">
    <w:name w:val="tei:repository"/>
    <w:rPr>
      <w:rFonts w:ascii="Arial" w:cs="Arial Unicode MS" w:hAnsi="Arial" w:eastAsia="Arial Unicode MS"/>
      <w:b w:val="0"/>
      <w:bCs w:val="0"/>
      <w:i w:val="0"/>
      <w:iCs w:val="0"/>
      <w:u w:val="single"/>
    </w:rPr>
  </w:style>
  <w:style w:type="character" w:styleId="tei:msName">
    <w:name w:val="tei:msName"/>
    <w:rPr>
      <w:rFonts w:ascii="Arial" w:cs="Arial Unicode MS" w:hAnsi="Arial" w:eastAsia="Arial Unicode MS"/>
      <w:b w:val="0"/>
      <w:bCs w:val="0"/>
      <w:i w:val="1"/>
      <w:iCs w:val="1"/>
      <w:u w:val="none"/>
    </w:rPr>
  </w:style>
  <w:style w:type="character" w:styleId="mv:volume">
    <w:name w:val="mv:volume"/>
    <w:rPr>
      <w:rFonts w:ascii="Arial" w:cs="Arial Unicode MS" w:hAnsi="Arial" w:eastAsia="Arial Unicode MS"/>
      <w:b w:val="0"/>
      <w:bCs w:val="0"/>
      <w:i w:val="0"/>
      <w:iCs w:val="0"/>
      <w:u w:val="none"/>
    </w:rPr>
  </w:style>
  <w:style w:type="character" w:styleId="mv:pages">
    <w:name w:val="mv:pages"/>
    <w:rPr>
      <w:rFonts w:ascii="Arial" w:cs="Arial Unicode MS" w:hAnsi="Arial" w:eastAsia="Arial Unicode MS"/>
      <w:b w:val="0"/>
      <w:bCs w:val="0"/>
      <w:i w:val="0"/>
      <w:iCs w:val="0"/>
      <w:u w:val="none"/>
    </w:rPr>
  </w:style>
  <w:style w:type="paragraph" w:styleId="tei:abstract">
    <w:name w:val="tei:abstract"/>
    <w:next w:val="tei:abstrac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1"/>
      <w:iCs w:val="1"/>
      <w:caps w:val="0"/>
      <w:smallCaps w:val="0"/>
      <w:strike w:val="0"/>
      <w:dstrike w:val="0"/>
      <w:outline w:val="0"/>
      <w:color w:val="017000"/>
      <w:spacing w:val="0"/>
      <w:kern w:val="0"/>
      <w:position w:val="0"/>
      <w:sz w:val="28"/>
      <w:szCs w:val="28"/>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vertAlign w:val="baseline"/>
    </w:rPr>
  </w:style>
  <w:style w:type="character" w:styleId="tei:pb">
    <w:name w:val="tei:pb"/>
    <w:rPr>
      <w:rFonts w:ascii="Arial" w:cs="Arial Unicode MS" w:hAnsi="Arial" w:eastAsia="Arial Unicode MS"/>
      <w:b w:val="0"/>
      <w:bCs w:val="0"/>
      <w:i w:val="0"/>
      <w:iCs w:val="0"/>
      <w:u w:val="single"/>
    </w:rPr>
  </w:style>
  <w:style w:type="character" w:styleId="hand">
    <w:name w:val="hand"/>
    <w:rPr>
      <w:b w:val="1"/>
      <w:bCs w:val="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