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49001">
      <w:pPr>
        <w:jc w:val="center"/>
        <w:rPr>
          <w:rFonts w:hint="eastAsia" w:eastAsiaTheme="minorEastAsia"/>
          <w:sz w:val="28"/>
          <w:szCs w:val="28"/>
          <w:lang w:val="en-US" w:eastAsia="zh"/>
          <w:woUserID w:val="1"/>
        </w:rPr>
      </w:pPr>
      <w:r>
        <w:rPr>
          <w:rFonts w:hint="eastAsia"/>
          <w:sz w:val="28"/>
          <w:szCs w:val="28"/>
          <w:lang w:val="en-US" w:eastAsia="zh"/>
          <w:woUserID w:val="1"/>
        </w:rPr>
        <w:t>【</w:t>
      </w:r>
      <w:r>
        <w:rPr>
          <w:rFonts w:hint="eastAsia"/>
          <w:sz w:val="28"/>
          <w:szCs w:val="28"/>
          <w:lang w:val="en-US" w:eastAsia="zh-CN"/>
        </w:rPr>
        <w:t>商户自动化对账与线上开票</w:t>
      </w:r>
      <w:r>
        <w:rPr>
          <w:rFonts w:hint="eastAsia"/>
          <w:sz w:val="28"/>
          <w:szCs w:val="28"/>
          <w:lang w:val="en-US" w:eastAsia="zh"/>
          <w:woUserID w:val="1"/>
        </w:rPr>
        <w:t>】要点补充</w:t>
      </w:r>
    </w:p>
    <w:p w14:paraId="3B1EEB65">
      <w:pPr>
        <w:jc w:val="center"/>
        <w:rPr>
          <w:rFonts w:hint="default"/>
          <w:sz w:val="28"/>
          <w:szCs w:val="28"/>
          <w:lang w:val="en-US" w:eastAsia="zh-CN"/>
        </w:rPr>
      </w:pPr>
    </w:p>
    <w:p w14:paraId="6A9B3796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"/>
          <w:woUserID w:val="1"/>
        </w:rPr>
        <w:t>“对账单生成”统一命名为“服务费汇总表”，避免与现有的对账单混淆概念。</w:t>
      </w:r>
    </w:p>
    <w:p w14:paraId="5EB71548"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084A2944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  <w:woUserID w:val="1"/>
        </w:rPr>
      </w:pPr>
      <w:r>
        <w:rPr>
          <w:rFonts w:hint="eastAsia"/>
          <w:sz w:val="28"/>
          <w:szCs w:val="28"/>
          <w:lang w:val="en-US" w:eastAsia="zh"/>
          <w:woUserID w:val="1"/>
        </w:rPr>
        <w:t>服务费汇总表（需求文档中原名“</w:t>
      </w:r>
      <w:r>
        <w:rPr>
          <w:rFonts w:hint="eastAsia"/>
          <w:sz w:val="28"/>
          <w:szCs w:val="28"/>
          <w:lang w:val="en-US" w:eastAsia="zh-CN"/>
          <w:woUserID w:val="1"/>
        </w:rPr>
        <w:t>对账单生成</w:t>
      </w:r>
      <w:r>
        <w:rPr>
          <w:rFonts w:hint="eastAsia"/>
          <w:sz w:val="28"/>
          <w:szCs w:val="28"/>
          <w:lang w:val="en-US" w:eastAsia="zh"/>
          <w:woUserID w:val="1"/>
        </w:rPr>
        <w:t>”）生成限制对账口径</w:t>
      </w:r>
    </w:p>
    <w:p w14:paraId="33029D4D">
      <w:pPr>
        <w:numPr>
          <w:ilvl w:val="0"/>
          <w:numId w:val="0"/>
        </w:numPr>
        <w:ind w:firstLine="560" w:firstLineChars="200"/>
        <w:jc w:val="both"/>
        <w:rPr>
          <w:rFonts w:hint="eastAsia"/>
          <w:sz w:val="28"/>
          <w:szCs w:val="28"/>
          <w:lang w:val="en-US" w:eastAsia="zh-CN"/>
          <w:woUserID w:val="1"/>
        </w:rPr>
      </w:pPr>
      <w:r>
        <w:rPr>
          <w:rFonts w:hint="eastAsia"/>
          <w:sz w:val="28"/>
          <w:szCs w:val="28"/>
          <w:lang w:val="en-US" w:eastAsia="zh-CN"/>
          <w:woUserID w:val="1"/>
        </w:rPr>
        <w:t>商户</w:t>
      </w:r>
      <w:r>
        <w:rPr>
          <w:rFonts w:hint="eastAsia"/>
          <w:sz w:val="28"/>
          <w:szCs w:val="28"/>
          <w:lang w:val="en-US" w:eastAsia="zh"/>
          <w:woUserID w:val="1"/>
        </w:rPr>
        <w:t>勾选</w:t>
      </w:r>
      <w:r>
        <w:rPr>
          <w:rFonts w:hint="eastAsia"/>
          <w:sz w:val="28"/>
          <w:szCs w:val="28"/>
          <w:lang w:val="en-US" w:eastAsia="zh-CN"/>
          <w:woUserID w:val="1"/>
        </w:rPr>
        <w:t>生成</w:t>
      </w:r>
      <w:r>
        <w:rPr>
          <w:rFonts w:hint="eastAsia"/>
          <w:sz w:val="28"/>
          <w:szCs w:val="28"/>
          <w:lang w:val="en-US" w:eastAsia="zh"/>
          <w:woUserID w:val="1"/>
        </w:rPr>
        <w:t>服务费汇总表（需求文档中原名“</w:t>
      </w:r>
      <w:r>
        <w:rPr>
          <w:rFonts w:hint="eastAsia"/>
          <w:sz w:val="28"/>
          <w:szCs w:val="28"/>
          <w:lang w:val="en-US" w:eastAsia="zh-CN"/>
          <w:woUserID w:val="1"/>
        </w:rPr>
        <w:t>对账单生成</w:t>
      </w:r>
      <w:r>
        <w:rPr>
          <w:rFonts w:hint="eastAsia"/>
          <w:sz w:val="28"/>
          <w:szCs w:val="28"/>
          <w:lang w:val="en-US" w:eastAsia="zh"/>
          <w:woUserID w:val="1"/>
        </w:rPr>
        <w:t>”）</w:t>
      </w:r>
      <w:r>
        <w:rPr>
          <w:rFonts w:hint="eastAsia"/>
          <w:sz w:val="28"/>
          <w:szCs w:val="28"/>
          <w:lang w:val="en-US" w:eastAsia="zh-CN"/>
          <w:woUserID w:val="1"/>
        </w:rPr>
        <w:t>时，一旦选定【付款日期月/交易日期月】，将永久锁定此对账口径，后续所有月份生成的对账单均不可以切换、不可修改</w:t>
      </w:r>
      <w:r>
        <w:rPr>
          <w:rFonts w:hint="eastAsia"/>
          <w:sz w:val="28"/>
          <w:szCs w:val="28"/>
          <w:lang w:val="en-US" w:eastAsia="zh"/>
          <w:woUserID w:val="1"/>
        </w:rPr>
        <w:t>，并且在</w:t>
      </w:r>
      <w:r>
        <w:rPr>
          <w:rFonts w:hint="eastAsia"/>
          <w:sz w:val="28"/>
          <w:szCs w:val="28"/>
          <w:lang w:val="en-US" w:eastAsia="zh-CN"/>
          <w:woUserID w:val="1"/>
        </w:rPr>
        <w:t>直接在</w:t>
      </w:r>
      <w:r>
        <w:rPr>
          <w:rFonts w:hint="eastAsia"/>
          <w:sz w:val="28"/>
          <w:szCs w:val="28"/>
          <w:lang w:val="en-US" w:eastAsia="zh"/>
          <w:woUserID w:val="1"/>
        </w:rPr>
        <w:t>服务费汇总表</w:t>
      </w:r>
      <w:r>
        <w:rPr>
          <w:rFonts w:hint="eastAsia"/>
          <w:sz w:val="28"/>
          <w:szCs w:val="28"/>
          <w:lang w:val="en-US" w:eastAsia="zh-CN"/>
          <w:woUserID w:val="1"/>
        </w:rPr>
        <w:t>生成的时候做限制</w:t>
      </w:r>
      <w:r>
        <w:rPr>
          <w:rFonts w:hint="eastAsia"/>
          <w:sz w:val="28"/>
          <w:szCs w:val="28"/>
          <w:lang w:val="en-US" w:eastAsia="zh"/>
          <w:woUserID w:val="1"/>
        </w:rPr>
        <w:t>。</w:t>
      </w:r>
    </w:p>
    <w:p w14:paraId="5D2760D2"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  <w:woUserID w:val="1"/>
        </w:rPr>
      </w:pPr>
    </w:p>
    <w:p w14:paraId="21FE0447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"/>
          <w:woUserID w:val="1"/>
        </w:rPr>
        <w:t>服务费汇总表（需求文档中原名“</w:t>
      </w:r>
      <w:r>
        <w:rPr>
          <w:rFonts w:hint="eastAsia"/>
          <w:sz w:val="28"/>
          <w:szCs w:val="28"/>
          <w:lang w:val="en-US" w:eastAsia="zh-CN"/>
          <w:woUserID w:val="1"/>
        </w:rPr>
        <w:t>对账单生成</w:t>
      </w:r>
      <w:r>
        <w:rPr>
          <w:rFonts w:hint="eastAsia"/>
          <w:sz w:val="28"/>
          <w:szCs w:val="28"/>
          <w:lang w:val="en-US" w:eastAsia="zh"/>
          <w:woUserID w:val="1"/>
        </w:rPr>
        <w:t>”）</w:t>
      </w:r>
      <w:r>
        <w:rPr>
          <w:rFonts w:hint="eastAsia"/>
          <w:sz w:val="28"/>
          <w:szCs w:val="28"/>
          <w:lang w:val="en-US" w:eastAsia="zh-CN"/>
        </w:rPr>
        <w:t>审核</w:t>
      </w:r>
    </w:p>
    <w:p w14:paraId="0517CBB4">
      <w:pPr>
        <w:numPr>
          <w:ilvl w:val="0"/>
          <w:numId w:val="2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仅已付款（划账成功）的结算单才可申请开票</w:t>
      </w:r>
    </w:p>
    <w:p w14:paraId="63D399D2">
      <w:pPr>
        <w:numPr>
          <w:ilvl w:val="0"/>
          <w:numId w:val="2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商户勾选结算单生成后面的运营初审、财务初审和复审，需保留完整的审核历史（审核人、审核状态、审核时间），类似OA审批流程。</w:t>
      </w:r>
    </w:p>
    <w:p w14:paraId="49008F38">
      <w:pPr>
        <w:numPr>
          <w:ilvl w:val="0"/>
          <w:numId w:val="0"/>
        </w:numPr>
        <w:ind w:leftChars="200"/>
        <w:jc w:val="both"/>
        <w:rPr>
          <w:rFonts w:hint="eastAsia"/>
          <w:sz w:val="28"/>
          <w:szCs w:val="28"/>
          <w:lang w:val="en-US" w:eastAsia="zh-CN"/>
        </w:rPr>
      </w:pPr>
    </w:p>
    <w:p w14:paraId="732E1AC3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业务性质混开规则</w:t>
      </w:r>
    </w:p>
    <w:p w14:paraId="5E4AEA68">
      <w:pPr>
        <w:numPr>
          <w:ilvl w:val="0"/>
          <w:numId w:val="3"/>
        </w:numPr>
        <w:ind w:left="0" w:leftChars="0"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对账单层面（结算汇总单）层面，允许助缴和正常业务混开，但在开票层面，要按业务性质分开开票，商户开票申请时，自行选择是否混合业务性质开票</w:t>
      </w:r>
    </w:p>
    <w:p w14:paraId="58D1934F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lang w:val="en-US" w:eastAsia="zh-CN"/>
        </w:rPr>
      </w:pPr>
    </w:p>
    <w:p w14:paraId="6DF85762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开票主体和开票金额分配</w:t>
      </w:r>
    </w:p>
    <w:p w14:paraId="3EE0DC2C">
      <w:pPr>
        <w:numPr>
          <w:ilvl w:val="0"/>
          <w:numId w:val="4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默认支持单个开票主体，需支持运营人员为特定商户配置每月可开多张发票，允许商户信息可配置多个开票抬头（如东莞静态商户）</w:t>
      </w:r>
    </w:p>
    <w:p w14:paraId="109D36E4">
      <w:pPr>
        <w:numPr>
          <w:ilvl w:val="0"/>
          <w:numId w:val="4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开票操作支持同一对账单下的多个开票主体分配不同的金额，但总金额需与所选结算单一致（如有）</w:t>
      </w:r>
    </w:p>
    <w:p w14:paraId="5D0A8104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开票异常处理</w:t>
      </w:r>
    </w:p>
    <w:p w14:paraId="10C196F1">
      <w:pPr>
        <w:numPr>
          <w:ilvl w:val="0"/>
          <w:numId w:val="5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不支持发票红冲，若遇到有商户要红冲，需要走人工流程，由商户申请后找财务处理。</w:t>
      </w:r>
    </w:p>
    <w:p w14:paraId="7C3948AE">
      <w:pPr>
        <w:numPr>
          <w:ilvl w:val="0"/>
          <w:numId w:val="5"/>
        </w:numPr>
        <w:ind w:left="0" w:leftChars="0"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开票会有部分成功/失败的可能，如果失败可重新触发开票接口。</w:t>
      </w:r>
    </w:p>
    <w:p w14:paraId="72C92E12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1DDD0F53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其他说明</w:t>
      </w:r>
    </w:p>
    <w:p w14:paraId="24A1AE2B">
      <w:pPr>
        <w:numPr>
          <w:ilvl w:val="0"/>
          <w:numId w:val="6"/>
        </w:numPr>
        <w:ind w:left="0" w:leftChars="0"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求文档中“支持导出单条对账单详情PDF格式和筛选后的对账单列表Excel格式”，因之前个别商户有盖章需求，要来回邮寄至拓展盖章，当时考虑到拓展可以申请专属的电子签章，由此想实现该功能。因目前缺少电子签章功能，暂不开发。</w:t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13A6CF54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lang w:val="en-US" w:eastAsia="zh-CN"/>
        </w:rPr>
      </w:pPr>
    </w:p>
    <w:p w14:paraId="441256E1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lang w:val="en-US" w:eastAsia="zh-CN"/>
        </w:rPr>
      </w:pPr>
    </w:p>
    <w:p w14:paraId="32BBF882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lang w:val="en-US" w:eastAsia="zh-CN"/>
        </w:rPr>
      </w:pPr>
    </w:p>
    <w:p w14:paraId="1369B73F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数电票传参字段确认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843"/>
        <w:gridCol w:w="2910"/>
      </w:tblGrid>
      <w:tr w14:paraId="4717E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D67AC5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接口字段</w:t>
            </w:r>
          </w:p>
        </w:tc>
        <w:tc>
          <w:tcPr>
            <w:tcW w:w="2843" w:type="dxa"/>
          </w:tcPr>
          <w:p w14:paraId="35C3998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拓展传参</w:t>
            </w:r>
          </w:p>
        </w:tc>
        <w:tc>
          <w:tcPr>
            <w:tcW w:w="2910" w:type="dxa"/>
          </w:tcPr>
          <w:p w14:paraId="6F68560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传参规则说明</w:t>
            </w:r>
          </w:p>
        </w:tc>
      </w:tr>
      <w:tr w14:paraId="7D87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5817A2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购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买方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名称</w:t>
            </w:r>
          </w:p>
        </w:tc>
        <w:tc>
          <w:tcPr>
            <w:tcW w:w="2843" w:type="dxa"/>
          </w:tcPr>
          <w:p w14:paraId="0FEEF32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运营后台的商户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信息中的企业名称</w:t>
            </w:r>
          </w:p>
        </w:tc>
        <w:tc>
          <w:tcPr>
            <w:tcW w:w="2910" w:type="dxa"/>
          </w:tcPr>
          <w:p w14:paraId="58CF3F1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自动带入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商户信息对应的内容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，不可修改</w:t>
            </w:r>
          </w:p>
        </w:tc>
      </w:tr>
      <w:tr w14:paraId="4F50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tbl>
            <w:tblPr>
              <w:tblStyle w:val="4"/>
              <w:tblW w:w="270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00"/>
            </w:tblGrid>
            <w:tr w14:paraId="7A94E9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94" w:hRule="atLeast"/>
              </w:trPr>
              <w:tc>
                <w:tcPr>
                  <w:tcW w:w="2700" w:type="dxa"/>
                  <w:shd w:val="clear" w:color="auto" w:fill="auto"/>
                  <w:vAlign w:val="top"/>
                </w:tcPr>
                <w:p w14:paraId="0DCF08E3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购买</w:t>
                  </w:r>
                  <w:r>
                    <w:rPr>
                      <w:rFonts w:hint="default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方纳税人识别号</w:t>
                  </w:r>
                </w:p>
              </w:tc>
            </w:tr>
          </w:tbl>
          <w:p w14:paraId="51F21E4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2843" w:type="dxa"/>
          </w:tcPr>
          <w:p w14:paraId="026F538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运营后台的商户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信息中的开票信息里的纳税人识别号</w:t>
            </w:r>
          </w:p>
        </w:tc>
        <w:tc>
          <w:tcPr>
            <w:tcW w:w="2910" w:type="dxa"/>
          </w:tcPr>
          <w:p w14:paraId="5FB4A697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自动带入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商户信息对应的内容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，不可修改</w:t>
            </w:r>
          </w:p>
        </w:tc>
      </w:tr>
      <w:tr w14:paraId="764AE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9A2C6F6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销售方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 xml:space="preserve">名称 </w:t>
            </w:r>
          </w:p>
        </w:tc>
        <w:tc>
          <w:tcPr>
            <w:tcW w:w="2843" w:type="dxa"/>
          </w:tcPr>
          <w:p w14:paraId="2DD9C8F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  <w:t>广东联合电子服务股份有限公司</w:t>
            </w:r>
          </w:p>
          <w:p w14:paraId="668CE35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2910" w:type="dxa"/>
          </w:tcPr>
          <w:p w14:paraId="39479812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统一配置，固定传参</w:t>
            </w:r>
          </w:p>
        </w:tc>
      </w:tr>
      <w:tr w14:paraId="372F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E80E02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销售方纳税人识别号</w:t>
            </w:r>
          </w:p>
        </w:tc>
        <w:tc>
          <w:tcPr>
            <w:tcW w:w="2843" w:type="dxa"/>
          </w:tcPr>
          <w:p w14:paraId="1E5157C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  <w:t>914400007408467653</w:t>
            </w:r>
          </w:p>
          <w:p w14:paraId="1ACA6EE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910" w:type="dxa"/>
          </w:tcPr>
          <w:p w14:paraId="4A98A364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统一配置，固定传参</w:t>
            </w:r>
          </w:p>
        </w:tc>
      </w:tr>
      <w:tr w14:paraId="6374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BA61A6D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</w:p>
          <w:p w14:paraId="56C2E80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价税合计</w:t>
            </w:r>
          </w:p>
        </w:tc>
        <w:tc>
          <w:tcPr>
            <w:tcW w:w="2843" w:type="dxa"/>
          </w:tcPr>
          <w:p w14:paraId="3ECD9B87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商户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同一张对账单下，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拆分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出来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单张发票金额（对应对账单中「开票信息 N」的金额）</w:t>
            </w:r>
          </w:p>
        </w:tc>
        <w:tc>
          <w:tcPr>
            <w:tcW w:w="2910" w:type="dxa"/>
          </w:tcPr>
          <w:p w14:paraId="71C4F4B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所有「开票信息 N」的金额加起来，必须等于对账单的总金额</w:t>
            </w:r>
          </w:p>
        </w:tc>
      </w:tr>
      <w:tr w14:paraId="1308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74E867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  <w:p w14:paraId="12C921E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合计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金额</w:t>
            </w:r>
          </w:p>
        </w:tc>
        <w:tc>
          <w:tcPr>
            <w:tcW w:w="2843" w:type="dxa"/>
          </w:tcPr>
          <w:p w14:paraId="4FA40409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</w:p>
          <w:p w14:paraId="4F43C7F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系统按「价税合计 ÷ 1.06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税率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」自动计算</w:t>
            </w:r>
          </w:p>
        </w:tc>
        <w:tc>
          <w:tcPr>
            <w:tcW w:w="2910" w:type="dxa"/>
          </w:tcPr>
          <w:p w14:paraId="3D12670E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</w:p>
          <w:p w14:paraId="36D22AD5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当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一张对账单拆分为多张发票开具时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-CN"/>
              </w:rPr>
              <w:t>，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每张发票先按「价税合计 ÷ 1.06」计算不含税金额，再用「价税合计 - 不含税金额」计算税额</w:t>
            </w:r>
          </w:p>
          <w:p w14:paraId="47948E7C">
            <w:pPr>
              <w:numPr>
                <w:ilvl w:val="0"/>
                <w:numId w:val="0"/>
              </w:numPr>
              <w:ind w:leftChars="200"/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354E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1B5481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合计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税额</w:t>
            </w:r>
          </w:p>
        </w:tc>
        <w:tc>
          <w:tcPr>
            <w:tcW w:w="2843" w:type="dxa"/>
          </w:tcPr>
          <w:p w14:paraId="60691A3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 xml:space="preserve">系统按「价税合计 -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合计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金额」自动计算</w:t>
            </w:r>
          </w:p>
        </w:tc>
        <w:tc>
          <w:tcPr>
            <w:tcW w:w="2910" w:type="dxa"/>
          </w:tcPr>
          <w:p w14:paraId="141F5C0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按财务指定公式计算</w:t>
            </w:r>
          </w:p>
        </w:tc>
      </w:tr>
      <w:tr w14:paraId="566F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B25C65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税率</w:t>
            </w:r>
          </w:p>
        </w:tc>
        <w:tc>
          <w:tcPr>
            <w:tcW w:w="2843" w:type="dxa"/>
          </w:tcPr>
          <w:p w14:paraId="4EE235B2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 xml:space="preserve">固定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0.06</w:t>
            </w:r>
          </w:p>
        </w:tc>
        <w:tc>
          <w:tcPr>
            <w:tcW w:w="2910" w:type="dxa"/>
          </w:tcPr>
          <w:p w14:paraId="1E4DF0D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统一传参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0.06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，不可修改</w:t>
            </w:r>
          </w:p>
        </w:tc>
      </w:tr>
      <w:tr w14:paraId="027F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769" w:type="dxa"/>
          </w:tcPr>
          <w:p w14:paraId="734917B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发票类型</w:t>
            </w:r>
          </w:p>
        </w:tc>
        <w:tc>
          <w:tcPr>
            <w:tcW w:w="2843" w:type="dxa"/>
          </w:tcPr>
          <w:p w14:paraId="023BA4D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商户选择的票种（专票 / 普票）</w:t>
            </w:r>
          </w:p>
        </w:tc>
        <w:tc>
          <w:tcPr>
            <w:tcW w:w="2910" w:type="dxa"/>
          </w:tcPr>
          <w:p w14:paraId="7DC2D0E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直接映射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商户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信息中开票信息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选择的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发票类型</w:t>
            </w:r>
          </w:p>
        </w:tc>
      </w:tr>
      <w:tr w14:paraId="4D70A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769" w:type="dxa"/>
          </w:tcPr>
          <w:p w14:paraId="2E5B92F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开票人</w:t>
            </w:r>
          </w:p>
        </w:tc>
        <w:tc>
          <w:tcPr>
            <w:tcW w:w="2843" w:type="dxa"/>
          </w:tcPr>
          <w:p w14:paraId="5F18D69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梁寅庆</w:t>
            </w:r>
          </w:p>
        </w:tc>
        <w:tc>
          <w:tcPr>
            <w:tcW w:w="2910" w:type="dxa"/>
          </w:tcPr>
          <w:p w14:paraId="42BF1E7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按财务要求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开票人显示业务侧负责人</w:t>
            </w:r>
          </w:p>
        </w:tc>
      </w:tr>
      <w:tr w14:paraId="50CFF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AED5B94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项目名称</w:t>
            </w:r>
          </w:p>
        </w:tc>
        <w:tc>
          <w:tcPr>
            <w:tcW w:w="2843" w:type="dxa"/>
          </w:tcPr>
          <w:p w14:paraId="6EE9D1A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其他生产生活服务</w:t>
            </w:r>
          </w:p>
        </w:tc>
        <w:tc>
          <w:tcPr>
            <w:tcW w:w="2910" w:type="dxa"/>
          </w:tcPr>
          <w:p w14:paraId="3827AFC6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  <w:highlight w:val="none"/>
                <w:woUserID w:val="1"/>
              </w:rPr>
              <w:t>统一配置，固定传参</w:t>
            </w:r>
          </w:p>
        </w:tc>
      </w:tr>
      <w:tr w14:paraId="126B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BE7964A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规格型号</w:t>
            </w:r>
          </w:p>
        </w:tc>
        <w:tc>
          <w:tcPr>
            <w:tcW w:w="2843" w:type="dxa"/>
          </w:tcPr>
          <w:p w14:paraId="59BF6EB7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*</w:t>
            </w:r>
          </w:p>
        </w:tc>
        <w:tc>
          <w:tcPr>
            <w:tcW w:w="2910" w:type="dxa"/>
            <w:vMerge w:val="restart"/>
          </w:tcPr>
          <w:p w14:paraId="7D5D7789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</w:p>
          <w:p w14:paraId="056B4E6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具体见财务提供的发票样例</w:t>
            </w:r>
          </w:p>
        </w:tc>
      </w:tr>
      <w:tr w14:paraId="66E7E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78BA64C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单位</w:t>
            </w:r>
          </w:p>
        </w:tc>
        <w:tc>
          <w:tcPr>
            <w:tcW w:w="2843" w:type="dxa"/>
          </w:tcPr>
          <w:p w14:paraId="654C911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项</w:t>
            </w:r>
          </w:p>
        </w:tc>
        <w:tc>
          <w:tcPr>
            <w:tcW w:w="2910" w:type="dxa"/>
            <w:vMerge w:val="continue"/>
            <w:tcBorders/>
          </w:tcPr>
          <w:p w14:paraId="2139F47D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</w:p>
        </w:tc>
      </w:tr>
      <w:tr w14:paraId="54634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CB897FD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数量</w:t>
            </w:r>
          </w:p>
        </w:tc>
        <w:tc>
          <w:tcPr>
            <w:tcW w:w="2843" w:type="dxa"/>
          </w:tcPr>
          <w:p w14:paraId="6AD7153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1</w:t>
            </w:r>
          </w:p>
        </w:tc>
        <w:tc>
          <w:tcPr>
            <w:tcW w:w="2910" w:type="dxa"/>
            <w:vMerge w:val="continue"/>
            <w:tcBorders/>
          </w:tcPr>
          <w:p w14:paraId="7C5016AE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</w:p>
        </w:tc>
      </w:tr>
      <w:tr w14:paraId="1E7F1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ADED853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单价</w:t>
            </w:r>
          </w:p>
        </w:tc>
        <w:tc>
          <w:tcPr>
            <w:tcW w:w="2843" w:type="dxa"/>
          </w:tcPr>
          <w:p w14:paraId="4FDF6ACF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3581.103773584905</w:t>
            </w:r>
          </w:p>
        </w:tc>
        <w:tc>
          <w:tcPr>
            <w:tcW w:w="2910" w:type="dxa"/>
            <w:vMerge w:val="continue"/>
            <w:tcBorders/>
          </w:tcPr>
          <w:p w14:paraId="2D4B67A4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</w:p>
        </w:tc>
      </w:tr>
      <w:tr w14:paraId="61F4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9706D4B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税收分类编码</w:t>
            </w:r>
          </w:p>
        </w:tc>
        <w:tc>
          <w:tcPr>
            <w:tcW w:w="2843" w:type="dxa"/>
          </w:tcPr>
          <w:p w14:paraId="6110BAA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3079900000000000000</w:t>
            </w:r>
          </w:p>
        </w:tc>
        <w:tc>
          <w:tcPr>
            <w:tcW w:w="2910" w:type="dxa"/>
            <w:tcBorders/>
          </w:tcPr>
          <w:p w14:paraId="675532E1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bookmarkStart w:id="0" w:name="_GoBack"/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  <w:highlight w:val="none"/>
                <w:woUserID w:val="1"/>
              </w:rPr>
              <w:t>统一配置，固定传参</w:t>
            </w:r>
            <w:bookmarkEnd w:id="0"/>
          </w:p>
        </w:tc>
      </w:tr>
    </w:tbl>
    <w:p w14:paraId="53F50143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highlight w:val="none"/>
          <w:lang w:val="en-US" w:eastAsia="zh-CN"/>
        </w:rPr>
      </w:pPr>
    </w:p>
    <w:p w14:paraId="12C6E77D"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eastAsiaTheme="minorEastAsia"/>
          <w:sz w:val="28"/>
          <w:szCs w:val="28"/>
          <w:highlight w:val="none"/>
          <w:lang w:val="en-US" w:eastAsia="zh"/>
        </w:rPr>
      </w:pPr>
      <w:r>
        <w:rPr>
          <w:rFonts w:hint="eastAsia" w:eastAsiaTheme="minorEastAsia"/>
          <w:sz w:val="28"/>
          <w:szCs w:val="28"/>
          <w:highlight w:val="none"/>
          <w:lang w:val="en-US" w:eastAsia="zh"/>
        </w:rPr>
        <w:drawing>
          <wp:inline distT="0" distB="0" distL="114300" distR="114300">
            <wp:extent cx="5269865" cy="356108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9584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highlight w:val="none"/>
          <w:lang w:val="en-US" w:eastAsia="zh-CN"/>
        </w:rPr>
      </w:pPr>
    </w:p>
    <w:p w14:paraId="44BB78E2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highlight w:val="none"/>
          <w:lang w:val="en-US" w:eastAsia="zh-CN"/>
        </w:rPr>
      </w:pPr>
    </w:p>
    <w:p w14:paraId="2040E8EE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"/>
        </w:rPr>
      </w:pPr>
      <w:r>
        <w:rPr>
          <w:rFonts w:hint="eastAsia"/>
          <w:sz w:val="28"/>
          <w:szCs w:val="28"/>
          <w:lang w:val="en-US" w:eastAsia="zh"/>
        </w:rPr>
        <w:t>其他</w:t>
      </w:r>
      <w:r>
        <w:rPr>
          <w:rFonts w:hint="eastAsia"/>
          <w:sz w:val="28"/>
          <w:szCs w:val="28"/>
          <w:lang w:val="en-US" w:eastAsia="zh"/>
          <w:woUserID w:val="1"/>
        </w:rPr>
        <w:t>说明</w:t>
      </w:r>
    </w:p>
    <w:p w14:paraId="3096CFA1">
      <w:pPr>
        <w:numPr>
          <w:ilvl w:val="0"/>
          <w:numId w:val="0"/>
        </w:numPr>
        <w:ind w:leftChars="200"/>
        <w:jc w:val="both"/>
        <w:rPr>
          <w:rFonts w:hint="eastAsia"/>
          <w:sz w:val="28"/>
          <w:szCs w:val="28"/>
          <w:highlight w:val="none"/>
          <w:lang w:val="en-US" w:eastAsia="zh"/>
          <w:woUserID w:val="1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新旧开票功能将并行一段时间，为避免重复开票，将在新功能上线后，</w:t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由业务确认一个时间节点</w:t>
      </w:r>
      <w:r>
        <w:rPr>
          <w:rFonts w:hint="eastAsia"/>
          <w:sz w:val="28"/>
          <w:szCs w:val="28"/>
          <w:highlight w:val="none"/>
          <w:lang w:val="en-US" w:eastAsia="zh-CN"/>
        </w:rPr>
        <w:t>（</w:t>
      </w:r>
      <w:r>
        <w:rPr>
          <w:rFonts w:hint="eastAsia"/>
          <w:sz w:val="28"/>
          <w:szCs w:val="28"/>
          <w:highlight w:val="none"/>
          <w:lang w:val="en-US" w:eastAsia="zh"/>
          <w:woUserID w:val="1"/>
        </w:rPr>
        <w:t>以</w:t>
      </w:r>
      <w:r>
        <w:rPr>
          <w:rFonts w:hint="eastAsia"/>
          <w:sz w:val="28"/>
          <w:szCs w:val="28"/>
          <w:highlight w:val="none"/>
          <w:lang w:val="en-US" w:eastAsia="zh-CN"/>
        </w:rPr>
        <w:t>划账时间</w:t>
      </w:r>
      <w:r>
        <w:rPr>
          <w:rFonts w:hint="eastAsia"/>
          <w:sz w:val="28"/>
          <w:szCs w:val="28"/>
          <w:highlight w:val="none"/>
          <w:lang w:val="en-US" w:eastAsia="zh"/>
          <w:woUserID w:val="1"/>
        </w:rPr>
        <w:t>），节点看投产时间的情况。</w:t>
      </w:r>
    </w:p>
    <w:p w14:paraId="79509F0E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highlight w:val="none"/>
          <w:lang w:val="en-US" w:eastAsia="zh-CN"/>
          <w:woUserID w:val="1"/>
        </w:rPr>
      </w:pPr>
    </w:p>
    <w:p w14:paraId="3BFCFF5E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highlight w:val="yellow"/>
          <w:lang w:val="en-US" w:eastAsia="zh-CN"/>
        </w:rPr>
      </w:pPr>
    </w:p>
    <w:p w14:paraId="7F66A2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9D396"/>
    <w:multiLevelType w:val="singleLevel"/>
    <w:tmpl w:val="8D99D39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0ABB3EA9"/>
    <w:multiLevelType w:val="singleLevel"/>
    <w:tmpl w:val="0ABB3EA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15FA52B3"/>
    <w:multiLevelType w:val="singleLevel"/>
    <w:tmpl w:val="15FA52B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697C5FBE"/>
    <w:multiLevelType w:val="singleLevel"/>
    <w:tmpl w:val="697C5FB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58CA4CD"/>
    <w:multiLevelType w:val="singleLevel"/>
    <w:tmpl w:val="758CA4C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7CE2DDAD"/>
    <w:multiLevelType w:val="singleLevel"/>
    <w:tmpl w:val="7CE2DDA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1E5FD9"/>
    <w:rsid w:val="151E5FD9"/>
    <w:rsid w:val="6BFEDFE1"/>
    <w:rsid w:val="6ED5057F"/>
    <w:rsid w:val="7FDF5E4D"/>
    <w:rsid w:val="BFF34382"/>
    <w:rsid w:val="EB55D99D"/>
    <w:rsid w:val="F9D69692"/>
    <w:rsid w:val="FB7E628D"/>
    <w:rsid w:val="FE4F8459"/>
    <w:rsid w:val="FF3E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536</Words>
  <Characters>550</Characters>
  <Lines>0</Lines>
  <Paragraphs>0</Paragraphs>
  <TotalTime>0</TotalTime>
  <ScaleCrop>false</ScaleCrop>
  <LinksUpToDate>false</LinksUpToDate>
  <CharactersWithSpaces>550</CharactersWithSpaces>
  <Application>WPS Office WWO_wpscloud_20260603020957-b230a22616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2026-05-16T12:17:00Z</dcterms:created>
  <dc:creator>Carmen</dc:creator>
  <cp:lastModifiedBy>Carmen</cp:lastModifiedBy>
  <dcterms:modified xsi:type="dcterms:W3CDTF">2026-06-17T09:41:45Z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2052-12.9.0.26953</vt:lpwstr>
  </property>
  <property fmtid="{D5CDD505-2E9C-101B-9397-08002B2CF9AE}" pid="3" name="ICV">
    <vt:lpwstr>91C892C24036132A59FB316A751064EC_43</vt:lpwstr>
  </property>
  <property fmtid="{D5CDD505-2E9C-101B-9397-08002B2CF9AE}" pid="4" name="KSOTemplateDocerSaveRecord">
    <vt:lpwstr>eyJoZGlkIjoiM2ZlYWY2MTYzOTg5N2EyOWNiYmFlMmI4Yjc3YzI4YTkiLCJ1c2VySWQiOiIyODM5NTIyNjQifQ==</vt:lpwstr>
  </property>
</Properties>
</file>