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Supplemental Information</w:t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  <w:r>
        <w:rPr>
          <w:noProof/>
          <w:lang w:val="es-ES" w:eastAsia="es-ES" w:bidi="ar-SA"/>
        </w:rPr>
        <w:drawing>
          <wp:anchor distT="0" distB="0" distL="0" distR="0" simplePos="0" relativeHeight="251659264" behindDoc="0" locked="0" layoutInCell="0" allowOverlap="1" wp14:anchorId="76642B13" wp14:editId="7BD561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65120"/>
            <wp:effectExtent l="0" t="0" r="0" b="0"/>
            <wp:wrapSquare wrapText="largest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 w:hAnsi="Times New Roman"/>
          <w:b/>
          <w:bCs/>
          <w:color w:val="C9211E"/>
        </w:rPr>
        <w:t>Supplementary Fig. 1.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C9211E"/>
        </w:rPr>
        <w:t>Replot</w:t>
      </w:r>
      <w:proofErr w:type="spellEnd"/>
      <w:r>
        <w:rPr>
          <w:rFonts w:ascii="Times New Roman" w:hAnsi="Times New Roman"/>
          <w:b/>
          <w:bCs/>
          <w:color w:val="C9211E"/>
        </w:rPr>
        <w:t xml:space="preserve"> of the data of Ref. [24] in a mouse model for corpus callosum, a white matter rich region.</w:t>
      </w:r>
      <w:r>
        <w:rPr>
          <w:rFonts w:ascii="Times New Roman" w:hAnsi="Times New Roman"/>
        </w:rPr>
        <w:t xml:space="preserve"> </w:t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Left panel: Principal component analysis of the data. The centers of the subgroups of samples are shown. Ages between 3 and 28 months are considered. An aging direction is apparent. Right panel: Full distances (including all components) to the initial point (3 months). This figure shows that the projection to the (PC1, PC2) plane is a fair representation.</w:t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  <w:r>
        <w:br w:type="page"/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  <w:bookmarkStart w:id="0" w:name="_GoBack"/>
      <w:r>
        <w:rPr>
          <w:rFonts w:ascii="Times New Roman" w:hAnsi="Times New Roman"/>
          <w:b/>
          <w:bCs/>
          <w:noProof/>
          <w:lang w:val="es-ES" w:eastAsia="es-ES" w:bidi="ar-SA"/>
        </w:rPr>
        <w:lastRenderedPageBreak/>
        <w:drawing>
          <wp:anchor distT="0" distB="0" distL="0" distR="0" simplePos="0" relativeHeight="251662336" behindDoc="0" locked="0" layoutInCell="0" allowOverlap="1" wp14:anchorId="44039CDF" wp14:editId="59A5EA4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2926080"/>
            <wp:effectExtent l="0" t="0" r="0" b="0"/>
            <wp:wrapSquare wrapText="largest"/>
            <wp:docPr id="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gramStart"/>
      <w:r>
        <w:rPr>
          <w:rFonts w:ascii="Times New Roman" w:hAnsi="Times New Roman"/>
          <w:b/>
          <w:bCs/>
          <w:color w:val="C9211E"/>
        </w:rPr>
        <w:t>Supplementary Fig. 2.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Violin plots for known markers in AD and GB.</w:t>
      </w:r>
      <w:r>
        <w:br w:type="page"/>
      </w:r>
    </w:p>
    <w:p w:rsidR="00721489" w:rsidRDefault="00721489" w:rsidP="00721489">
      <w:pPr>
        <w:spacing w:line="480" w:lineRule="auto"/>
        <w:jc w:val="both"/>
      </w:pPr>
    </w:p>
    <w:tbl>
      <w:tblPr>
        <w:tblW w:w="4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6"/>
        <w:gridCol w:w="2546"/>
      </w:tblGrid>
      <w:tr w:rsidR="00721489" w:rsidTr="00210ABD">
        <w:trPr>
          <w:trHeight w:val="311"/>
          <w:jc w:val="center"/>
        </w:trPr>
        <w:tc>
          <w:tcPr>
            <w:tcW w:w="2036" w:type="dxa"/>
            <w:shd w:val="clear" w:color="auto" w:fill="B4C7DC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Gene</w:t>
            </w:r>
          </w:p>
        </w:tc>
        <w:tc>
          <w:tcPr>
            <w:tcW w:w="2546" w:type="dxa"/>
            <w:shd w:val="clear" w:color="auto" w:fill="B4C7DC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Weight in PC1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RN7SL1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0.04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RPPH1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RNU2-1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SNORD3A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RNU1-2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RMRP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RNU1-4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RNU1-3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RNVU1-18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RNU1-1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SNORA73A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RNVU1-7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RNU2-2P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WARS2-IT1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…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…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VGF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SLC12A5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HIPK4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SSTR1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CPLX1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SYT5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MIR657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INA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CCK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GABRD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MIR1249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WIF1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NECAB2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FBXL16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GDA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KIAA1045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SYNPR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HMP19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lastRenderedPageBreak/>
              <w:t>CHGA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SNCG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SVOP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LRTM2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WNT10B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MTND4P12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PHYHIP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RAB3A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RASAL1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-0.02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HPCA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SERTM1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GABRG2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CAMKV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CREG2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SNAP25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GAD2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SYT13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KLK7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WBSCR17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SV2B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SLC30A3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ATP1A3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CPNE6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CAMK2A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SLC6A7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GABRA1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KCNJ4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CDK5R2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CALY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GNG3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CALB2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CHD5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VSNL1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CRYM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CCKBR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lastRenderedPageBreak/>
              <w:t>NEUROD6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HRH3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SYT1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SNCB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CHRM1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MAL2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SNORD113-3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PNMA5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CPLX2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TMEM130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LOC105373377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SYN2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SLC6A17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ICAM5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NEFL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SYN1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C1QL3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NEFM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DDN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FAM163B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GABRA5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NRGN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SLC32A1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SLC8A2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PACSIN1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SULT4A1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CACNG3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GRIN1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SLC17A7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PDYN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PRKCG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-0.03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SST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-0.04</w:t>
            </w:r>
          </w:p>
        </w:tc>
      </w:tr>
      <w:tr w:rsidR="00721489" w:rsidTr="00210ABD">
        <w:trPr>
          <w:trHeight w:val="311"/>
          <w:jc w:val="center"/>
        </w:trPr>
        <w:tc>
          <w:tcPr>
            <w:tcW w:w="203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MIR770</w:t>
            </w:r>
          </w:p>
        </w:tc>
        <w:tc>
          <w:tcPr>
            <w:tcW w:w="2546" w:type="dxa"/>
            <w:vAlign w:val="center"/>
          </w:tcPr>
          <w:p w:rsidR="00721489" w:rsidRDefault="00721489" w:rsidP="00721489">
            <w:pPr>
              <w:pStyle w:val="Contenidodelatabla"/>
              <w:jc w:val="center"/>
            </w:pPr>
            <w:r>
              <w:t>-0.04</w:t>
            </w:r>
          </w:p>
        </w:tc>
      </w:tr>
    </w:tbl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color w:val="000000"/>
        </w:rPr>
      </w:pP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color w:val="C9211E"/>
          <w:u w:val="single"/>
        </w:rPr>
      </w:pPr>
      <w:proofErr w:type="gramStart"/>
      <w:r>
        <w:rPr>
          <w:rFonts w:ascii="Times New Roman" w:hAnsi="Times New Roman"/>
          <w:b/>
          <w:bCs/>
          <w:color w:val="C9211E"/>
        </w:rPr>
        <w:lastRenderedPageBreak/>
        <w:t>Supplementary Table I.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</w:t>
      </w:r>
      <w:proofErr w:type="gramStart"/>
      <w:r>
        <w:rPr>
          <w:rFonts w:ascii="Times New Roman" w:hAnsi="Times New Roman"/>
          <w:b/>
          <w:bCs/>
          <w:color w:val="C9211E"/>
        </w:rPr>
        <w:t>The top 100 relevant genes contributing to the unitary vector along PC1 in the common plot.</w:t>
      </w:r>
      <w:proofErr w:type="gramEnd"/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color w:val="000000"/>
        </w:rPr>
      </w:pPr>
      <w:r>
        <w:br w:type="page"/>
      </w:r>
    </w:p>
    <w:tbl>
      <w:tblPr>
        <w:tblStyle w:val="Cuadrculamedia3-nfasis5"/>
        <w:tblpPr w:leftFromText="141" w:rightFromText="141" w:vertAnchor="text" w:horzAnchor="margin" w:tblpXSpec="center" w:tblpY="112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134"/>
        <w:gridCol w:w="1134"/>
        <w:gridCol w:w="1134"/>
        <w:gridCol w:w="1134"/>
        <w:gridCol w:w="1134"/>
        <w:gridCol w:w="1134"/>
      </w:tblGrid>
      <w:tr w:rsidR="00AA3930" w:rsidRPr="00572F49" w:rsidTr="0021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</w:pPr>
            <w:r w:rsidRPr="00572F49">
              <w:lastRenderedPageBreak/>
              <w:t>Pathway name</w:t>
            </w:r>
          </w:p>
        </w:tc>
        <w:tc>
          <w:tcPr>
            <w:tcW w:w="4536" w:type="dxa"/>
            <w:gridSpan w:val="4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Entities</w:t>
            </w:r>
          </w:p>
        </w:tc>
        <w:tc>
          <w:tcPr>
            <w:tcW w:w="2268" w:type="dxa"/>
            <w:gridSpan w:val="2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Reactions</w:t>
            </w:r>
          </w:p>
        </w:tc>
      </w:tr>
      <w:tr w:rsidR="00AA3930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  <w:tcBorders>
              <w:bottom w:val="single" w:sz="24" w:space="0" w:color="FFFFFF" w:themeColor="background1"/>
            </w:tcBorders>
          </w:tcPr>
          <w:p w:rsidR="00AA3930" w:rsidRPr="00572F49" w:rsidRDefault="00AA3930" w:rsidP="00AA3930">
            <w:pPr>
              <w:spacing w:line="276" w:lineRule="auto"/>
              <w:jc w:val="both"/>
              <w:rPr>
                <w:rFonts w:ascii="Times New Roman" w:hAnsi="Times New Roman"/>
                <w:b w:val="0"/>
                <w:bCs w:val="0"/>
                <w:color w:val="C9211E"/>
              </w:rPr>
            </w:pP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found</w:t>
            </w: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ratio</w:t>
            </w: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p-value</w:t>
            </w: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FDR*</w:t>
            </w: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found</w:t>
            </w:r>
          </w:p>
        </w:tc>
        <w:tc>
          <w:tcPr>
            <w:tcW w:w="11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C9211E"/>
              </w:rPr>
            </w:pPr>
            <w:r w:rsidRPr="00572F49">
              <w:t>ratio</w:t>
            </w:r>
          </w:p>
        </w:tc>
      </w:tr>
      <w:tr w:rsidR="00AA3930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A3930" w:rsidRPr="00572F49" w:rsidRDefault="00AA3930" w:rsidP="00AA3930">
            <w:pPr>
              <w:spacing w:line="276" w:lineRule="auto"/>
              <w:jc w:val="both"/>
            </w:pPr>
            <w:r w:rsidRPr="00572F49">
              <w:t>Transmission across Chemical Synapses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20/344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0.022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3.72e-13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9.16e-11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63/167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F49">
              <w:t>0.012</w:t>
            </w:r>
          </w:p>
        </w:tc>
      </w:tr>
      <w:tr w:rsidR="00AA3930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AA3930" w:rsidRPr="00572F49" w:rsidRDefault="00AA3930" w:rsidP="00AA3930">
            <w:pPr>
              <w:spacing w:line="276" w:lineRule="auto"/>
              <w:jc w:val="both"/>
            </w:pPr>
            <w:r w:rsidRPr="00572F49">
              <w:t>Neuronal System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20/490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0.032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1.97e-10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2.42e-08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72/221</w:t>
            </w:r>
          </w:p>
        </w:tc>
        <w:tc>
          <w:tcPr>
            <w:tcW w:w="1134" w:type="dxa"/>
            <w:vAlign w:val="center"/>
          </w:tcPr>
          <w:p w:rsidR="00AA3930" w:rsidRPr="00572F49" w:rsidRDefault="00AA3930" w:rsidP="00AA393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2F49">
              <w:t>0.015</w:t>
            </w:r>
          </w:p>
        </w:tc>
      </w:tr>
    </w:tbl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color w:val="C9211E"/>
        </w:rPr>
      </w:pPr>
      <w:proofErr w:type="gramStart"/>
      <w:r>
        <w:rPr>
          <w:rFonts w:ascii="Times New Roman" w:hAnsi="Times New Roman"/>
          <w:b/>
          <w:bCs/>
          <w:color w:val="C9211E"/>
        </w:rPr>
        <w:t>Supplementary Table II.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The main </w:t>
      </w:r>
      <w:proofErr w:type="spellStart"/>
      <w:r>
        <w:rPr>
          <w:rFonts w:ascii="Times New Roman" w:hAnsi="Times New Roman"/>
          <w:b/>
          <w:bCs/>
          <w:color w:val="C9211E"/>
        </w:rPr>
        <w:t>Reactome</w:t>
      </w:r>
      <w:proofErr w:type="spellEnd"/>
      <w:r>
        <w:rPr>
          <w:rFonts w:ascii="Times New Roman" w:hAnsi="Times New Roman"/>
          <w:b/>
          <w:bCs/>
          <w:color w:val="C9211E"/>
        </w:rPr>
        <w:t xml:space="preserve"> pathways related to the 100 first genes in the ranking along the PC1 direction. </w:t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color w:val="C9211E"/>
        </w:rPr>
      </w:pPr>
    </w:p>
    <w:p w:rsidR="00721489" w:rsidRDefault="00721489" w:rsidP="00721489">
      <w:pPr>
        <w:spacing w:line="480" w:lineRule="auto"/>
        <w:jc w:val="both"/>
      </w:pPr>
    </w:p>
    <w:p w:rsidR="00721489" w:rsidRDefault="00721489">
      <w:pPr>
        <w:suppressAutoHyphens w:val="0"/>
        <w:spacing w:after="200" w:line="276" w:lineRule="auto"/>
      </w:pPr>
      <w:r>
        <w:br w:type="page"/>
      </w:r>
    </w:p>
    <w:tbl>
      <w:tblPr>
        <w:tblW w:w="4605" w:type="dxa"/>
        <w:jc w:val="center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8"/>
        <w:gridCol w:w="2647"/>
      </w:tblGrid>
      <w:tr w:rsidR="00721489" w:rsidTr="00210ABD">
        <w:trPr>
          <w:trHeight w:val="256"/>
          <w:jc w:val="center"/>
        </w:trPr>
        <w:tc>
          <w:tcPr>
            <w:tcW w:w="1958" w:type="dxa"/>
            <w:shd w:val="clear" w:color="auto" w:fill="B4C7DC"/>
            <w:vAlign w:val="bottom"/>
          </w:tcPr>
          <w:p w:rsidR="00721489" w:rsidRDefault="00721489" w:rsidP="00721489">
            <w:pPr>
              <w:jc w:val="center"/>
            </w:pPr>
            <w:r>
              <w:lastRenderedPageBreak/>
              <w:t>Gene</w:t>
            </w:r>
          </w:p>
        </w:tc>
        <w:tc>
          <w:tcPr>
            <w:tcW w:w="2647" w:type="dxa"/>
            <w:shd w:val="clear" w:color="auto" w:fill="B4C7DC"/>
            <w:vAlign w:val="bottom"/>
          </w:tcPr>
          <w:p w:rsidR="00721489" w:rsidRDefault="00721489" w:rsidP="00721489">
            <w:pPr>
              <w:jc w:val="center"/>
            </w:pPr>
            <w:r>
              <w:t>Weight in PC2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RN7SL1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0.05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RPPH1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0.04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RNU2-1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0.04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SNORD3A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0.04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RMRP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0.04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RNU1-3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RNU1-1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RNU1-4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RNVU1-18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RNU1-2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SNORA73A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RNU2-2P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BCYRN1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LOC101928075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RNY3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SNORA63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RNVU1-7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SCARNA2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SNORA48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CYCSP30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SCARNA10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RN7SL2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LOC729348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SCARNA5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SCARNA7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SNORA81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SNORD97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DNAJC19P8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FCF1P1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SNORA57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SNORD10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SNORA49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SNORA54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RAB9AP2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RAB9AP5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RNY1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…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…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TPT1P9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RPL31P4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RPL10P9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GAPDHP65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RPL12P4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RPS20P14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FAM64A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RPS2P46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RPS3AP5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lastRenderedPageBreak/>
              <w:t>RPL7P1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YBX1P1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FTH1P7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RPL35P5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RPL13AP25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RPL37AP1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AURKB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FAUP1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MMP9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FTLP2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RPL7P9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GPX1P1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CHI3L1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MIR621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PI3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RPL6P27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IGFBP2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BIRC5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TPI1P1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FTH1P8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RPS27AP16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RPS27AP5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LOC105369550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PLA2G2A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NDUFA4P1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FTH1P2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TMSB4XP8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RPL26P19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COL1A1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COX6A1P2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COL3A1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RPS27P4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SAA1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RPL14P1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RPS27P3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SNRPGP10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MT2P1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RPS3AP26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PBK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TOP2A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CPXM1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MIR3682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-0.02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RPS18P12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RPS3AP6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SNRPGP2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RPS7P1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RPS15P4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lastRenderedPageBreak/>
              <w:t>MYBL2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RPL41P1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RPLP0P9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UBE2C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RPL18AP3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RPL39P3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FTLP3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  <w:tr w:rsidR="00721489" w:rsidTr="00210ABD">
        <w:trPr>
          <w:trHeight w:val="256"/>
          <w:jc w:val="center"/>
        </w:trPr>
        <w:tc>
          <w:tcPr>
            <w:tcW w:w="1958" w:type="dxa"/>
            <w:vAlign w:val="bottom"/>
          </w:tcPr>
          <w:p w:rsidR="00721489" w:rsidRDefault="00721489" w:rsidP="00721489">
            <w:pPr>
              <w:jc w:val="center"/>
            </w:pPr>
            <w:r>
              <w:t>RPLP0P6</w:t>
            </w:r>
          </w:p>
        </w:tc>
        <w:tc>
          <w:tcPr>
            <w:tcW w:w="2647" w:type="dxa"/>
            <w:vAlign w:val="bottom"/>
          </w:tcPr>
          <w:p w:rsidR="00721489" w:rsidRDefault="00721489" w:rsidP="00721489">
            <w:pPr>
              <w:jc w:val="center"/>
            </w:pPr>
            <w:r>
              <w:t>-0.03</w:t>
            </w:r>
          </w:p>
        </w:tc>
      </w:tr>
    </w:tbl>
    <w:p w:rsidR="00721489" w:rsidRDefault="00721489" w:rsidP="00721489"/>
    <w:p w:rsidR="00721489" w:rsidRDefault="00721489" w:rsidP="00721489">
      <w:pPr>
        <w:spacing w:line="480" w:lineRule="auto"/>
        <w:jc w:val="both"/>
        <w:rPr>
          <w:b/>
          <w:bCs/>
          <w:color w:val="C9211E"/>
        </w:rPr>
      </w:pPr>
      <w:proofErr w:type="gramStart"/>
      <w:r>
        <w:rPr>
          <w:rFonts w:ascii="Times New Roman" w:hAnsi="Times New Roman"/>
          <w:b/>
          <w:bCs/>
          <w:color w:val="C9211E"/>
        </w:rPr>
        <w:t>Supplementary Table III.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</w:t>
      </w:r>
      <w:proofErr w:type="gramStart"/>
      <w:r>
        <w:rPr>
          <w:rFonts w:ascii="Times New Roman" w:hAnsi="Times New Roman"/>
          <w:b/>
          <w:bCs/>
          <w:color w:val="C9211E"/>
        </w:rPr>
        <w:t>The top 100 relevant genes contributing to the unitary vector along PC2 in the common plot.</w:t>
      </w:r>
      <w:proofErr w:type="gramEnd"/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  <w:r>
        <w:br w:type="page"/>
      </w:r>
    </w:p>
    <w:tbl>
      <w:tblPr>
        <w:tblStyle w:val="Cuadrculamedia3-nfasis5"/>
        <w:tblpPr w:leftFromText="141" w:rightFromText="141" w:vertAnchor="text" w:tblpY="491"/>
        <w:tblW w:w="0" w:type="auto"/>
        <w:tblLayout w:type="fixed"/>
        <w:tblLook w:val="04A0" w:firstRow="1" w:lastRow="0" w:firstColumn="1" w:lastColumn="0" w:noHBand="0" w:noVBand="1"/>
      </w:tblPr>
      <w:tblGrid>
        <w:gridCol w:w="3444"/>
        <w:gridCol w:w="1121"/>
        <w:gridCol w:w="1072"/>
        <w:gridCol w:w="1034"/>
        <w:gridCol w:w="1092"/>
        <w:gridCol w:w="992"/>
        <w:gridCol w:w="1276"/>
      </w:tblGrid>
      <w:tr w:rsidR="00210ABD" w:rsidRPr="00572F49" w:rsidTr="0021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  <w:vMerge w:val="restart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rPr>
                <w:sz w:val="22"/>
              </w:rPr>
            </w:pPr>
            <w:r w:rsidRPr="00572F49">
              <w:rPr>
                <w:sz w:val="22"/>
              </w:rPr>
              <w:lastRenderedPageBreak/>
              <w:t>Pathway name</w:t>
            </w:r>
          </w:p>
        </w:tc>
        <w:tc>
          <w:tcPr>
            <w:tcW w:w="4319" w:type="dxa"/>
            <w:gridSpan w:val="4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Entities</w:t>
            </w:r>
          </w:p>
        </w:tc>
        <w:tc>
          <w:tcPr>
            <w:tcW w:w="2268" w:type="dxa"/>
            <w:gridSpan w:val="2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Reactions</w:t>
            </w:r>
          </w:p>
        </w:tc>
      </w:tr>
      <w:tr w:rsidR="00210ABD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  <w:vMerge/>
            <w:tcBorders>
              <w:bottom w:val="single" w:sz="24" w:space="0" w:color="FFFFFF" w:themeColor="background1"/>
            </w:tcBorders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</w:p>
        </w:tc>
        <w:tc>
          <w:tcPr>
            <w:tcW w:w="1121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found</w:t>
            </w:r>
          </w:p>
        </w:tc>
        <w:tc>
          <w:tcPr>
            <w:tcW w:w="1072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Ratio</w:t>
            </w:r>
          </w:p>
        </w:tc>
        <w:tc>
          <w:tcPr>
            <w:tcW w:w="1034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p-value</w:t>
            </w:r>
          </w:p>
        </w:tc>
        <w:tc>
          <w:tcPr>
            <w:tcW w:w="1092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FDR*</w:t>
            </w:r>
          </w:p>
        </w:tc>
        <w:tc>
          <w:tcPr>
            <w:tcW w:w="992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found</w:t>
            </w:r>
          </w:p>
        </w:tc>
        <w:tc>
          <w:tcPr>
            <w:tcW w:w="1276" w:type="dxa"/>
            <w:tcBorders>
              <w:bottom w:val="single" w:sz="24" w:space="0" w:color="FFFFFF" w:themeColor="background1"/>
            </w:tcBorders>
            <w:shd w:val="clear" w:color="auto" w:fill="4BACC6" w:themeFill="accent5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2"/>
              </w:rPr>
            </w:pPr>
            <w:r w:rsidRPr="00572F49">
              <w:rPr>
                <w:b/>
                <w:bCs/>
                <w:color w:val="FFFFFF" w:themeColor="background1"/>
                <w:sz w:val="22"/>
              </w:rPr>
              <w:t>ratio</w:t>
            </w:r>
          </w:p>
        </w:tc>
      </w:tr>
      <w:tr w:rsidR="00210ABD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G0 and Early G1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4/38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1.58e-04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0.032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4/27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</w:tr>
      <w:tr w:rsidR="00210ABD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TFAP2A acts as a transcriptional repressor during retinoic acid induced cell differentiation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2/9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5.86e-04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0.191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2/7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4.83e-04</w:t>
            </w:r>
          </w:p>
        </w:tc>
      </w:tr>
      <w:tr w:rsidR="00210ABD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Interleukin-4 and Interleukin-13 signaling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6/211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0.014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0.004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0.254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2/47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0.003</w:t>
            </w:r>
          </w:p>
        </w:tc>
      </w:tr>
      <w:tr w:rsidR="00210ABD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proofErr w:type="spellStart"/>
            <w:r w:rsidRPr="00572F49">
              <w:rPr>
                <w:sz w:val="22"/>
              </w:rPr>
              <w:t>SUMOylation</w:t>
            </w:r>
            <w:proofErr w:type="spellEnd"/>
            <w:r w:rsidRPr="00572F49">
              <w:rPr>
                <w:sz w:val="22"/>
              </w:rPr>
              <w:t xml:space="preserve"> of DNA replication proteins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3/50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0.003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0.005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0.272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4/8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5.52e-04</w:t>
            </w:r>
          </w:p>
        </w:tc>
      </w:tr>
      <w:tr w:rsidR="00210ABD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Transcription of E2F targets under negative control by p107 (RBL1) and p130 (RBL2) in complex with HDAC1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2/20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0.001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0.009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0.336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2/8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5.52e-04</w:t>
            </w:r>
          </w:p>
        </w:tc>
      </w:tr>
      <w:tr w:rsidR="00210ABD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 xml:space="preserve">Assembly of collagen fibrils and other </w:t>
            </w:r>
            <w:proofErr w:type="spellStart"/>
            <w:r w:rsidRPr="00572F49">
              <w:rPr>
                <w:sz w:val="22"/>
              </w:rPr>
              <w:t>multimeric</w:t>
            </w:r>
            <w:proofErr w:type="spellEnd"/>
            <w:r w:rsidRPr="00572F49">
              <w:rPr>
                <w:sz w:val="22"/>
              </w:rPr>
              <w:t xml:space="preserve"> structure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3/67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0.004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0.012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0.336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16/26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</w:tr>
      <w:tr w:rsidR="00210ABD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Collagen degradation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3/69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0.004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0.013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0.336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16/34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</w:tr>
      <w:tr w:rsidR="00210ABD" w:rsidRPr="00572F49" w:rsidTr="0021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 xml:space="preserve">Transcription of E2F targets under negative control by DREAM complex 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2/25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0.013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0.336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2/12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8.29e-04</w:t>
            </w:r>
          </w:p>
        </w:tc>
      </w:tr>
      <w:tr w:rsidR="00210ABD" w:rsidRPr="00572F49" w:rsidTr="0021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4" w:type="dxa"/>
          </w:tcPr>
          <w:p w:rsidR="00210ABD" w:rsidRPr="00572F49" w:rsidRDefault="00210ABD" w:rsidP="00210ABD">
            <w:pPr>
              <w:suppressAutoHyphens w:val="0"/>
              <w:spacing w:line="276" w:lineRule="auto"/>
              <w:rPr>
                <w:sz w:val="22"/>
              </w:rPr>
            </w:pPr>
            <w:r w:rsidRPr="00572F49">
              <w:rPr>
                <w:sz w:val="22"/>
              </w:rPr>
              <w:t>TP53 regulates transcription of several additional cell death genes whose specific roles in p53-dependent apoptosis remain uncertain</w:t>
            </w:r>
          </w:p>
        </w:tc>
        <w:tc>
          <w:tcPr>
            <w:tcW w:w="1121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2/28</w:t>
            </w:r>
          </w:p>
        </w:tc>
        <w:tc>
          <w:tcPr>
            <w:tcW w:w="107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0.002</w:t>
            </w:r>
          </w:p>
        </w:tc>
        <w:tc>
          <w:tcPr>
            <w:tcW w:w="1034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0.017</w:t>
            </w:r>
          </w:p>
        </w:tc>
        <w:tc>
          <w:tcPr>
            <w:tcW w:w="10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0.355</w:t>
            </w:r>
          </w:p>
        </w:tc>
        <w:tc>
          <w:tcPr>
            <w:tcW w:w="992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2/19</w:t>
            </w:r>
          </w:p>
        </w:tc>
        <w:tc>
          <w:tcPr>
            <w:tcW w:w="1276" w:type="dxa"/>
            <w:vAlign w:val="center"/>
          </w:tcPr>
          <w:p w:rsidR="00210ABD" w:rsidRPr="00572F49" w:rsidRDefault="00210ABD" w:rsidP="00210ABD">
            <w:pPr>
              <w:suppressAutoHyphens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72F49">
              <w:rPr>
                <w:sz w:val="22"/>
              </w:rPr>
              <w:t>0.001</w:t>
            </w:r>
          </w:p>
        </w:tc>
      </w:tr>
    </w:tbl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  <w:color w:val="C9211E"/>
        </w:rPr>
      </w:pPr>
      <w:proofErr w:type="gramStart"/>
      <w:r>
        <w:rPr>
          <w:rFonts w:ascii="Times New Roman" w:hAnsi="Times New Roman"/>
          <w:b/>
          <w:bCs/>
          <w:color w:val="C9211E"/>
        </w:rPr>
        <w:t>Supplementary Table IV.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The main pathways related to the 100 first genes in the ranking along the PC2 direction. </w:t>
      </w:r>
    </w:p>
    <w:p w:rsidR="00AA3930" w:rsidRDefault="00AA3930">
      <w:pPr>
        <w:suppressAutoHyphens w:val="0"/>
        <w:spacing w:after="200" w:line="276" w:lineRule="auto"/>
      </w:pPr>
      <w:r>
        <w:br w:type="page"/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  <w:b/>
          <w:bCs/>
        </w:rPr>
      </w:pP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</w:rPr>
      </w:pPr>
    </w:p>
    <w:tbl>
      <w:tblPr>
        <w:tblW w:w="6030" w:type="dxa"/>
        <w:jc w:val="center"/>
        <w:tblLayout w:type="fixed"/>
        <w:tblCellMar>
          <w:top w:w="55" w:type="dxa"/>
          <w:left w:w="5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51"/>
        <w:gridCol w:w="3619"/>
        <w:gridCol w:w="1260"/>
      </w:tblGrid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Gene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4C7DC"/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Extended name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4C7DC"/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Weight in PC1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SNAP25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" w:name="aliasMainName"/>
            <w:bookmarkEnd w:id="1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Synaptosome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Associated Protein 25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1.00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VSNL1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2" w:name="aliasMainName1"/>
            <w:bookmarkEnd w:id="2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Visinin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Like 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STMN2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3" w:name="aliasMainName2"/>
            <w:bookmarkEnd w:id="3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Stathmin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ENC1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4" w:name="aliasMainName3"/>
            <w:bookmarkEnd w:id="4"/>
            <w:r>
              <w:rPr>
                <w:rFonts w:ascii="Times New Roman" w:hAnsi="Times New Roman"/>
                <w:sz w:val="20"/>
                <w:szCs w:val="20"/>
              </w:rPr>
              <w:t>Ectodermal-Neural Cortex 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0.89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NEFL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5" w:name="aliasMainName4"/>
            <w:bookmarkEnd w:id="5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Neurofilament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Light Chain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0.89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SYT1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6" w:name="aliasMainName5"/>
            <w:bookmarkEnd w:id="6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Synaptotagmin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0.88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RGS4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7" w:name="aliasMainName6"/>
            <w:bookmarkEnd w:id="7"/>
            <w:r>
              <w:rPr>
                <w:rFonts w:ascii="Times New Roman" w:hAnsi="Times New Roman"/>
                <w:sz w:val="20"/>
                <w:szCs w:val="20"/>
              </w:rPr>
              <w:t>Regulator Of G Protein Signaling 4</w:t>
            </w:r>
          </w:p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0.86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CHN1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8" w:name="aliasMainName7"/>
            <w:bookmarkEnd w:id="8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Chimerin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0.84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GABRA1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9" w:name="aliasMainName8"/>
            <w:bookmarkEnd w:id="9"/>
            <w:r>
              <w:rPr>
                <w:rFonts w:ascii="Times New Roman" w:hAnsi="Times New Roman"/>
                <w:sz w:val="20"/>
                <w:szCs w:val="20"/>
              </w:rPr>
              <w:t>Gamma-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Aminobutyric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Acid Type A Receptor Subunit Alpha1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0.77</w:t>
            </w:r>
          </w:p>
        </w:tc>
      </w:tr>
      <w:tr w:rsidR="00721489" w:rsidTr="00721489">
        <w:trPr>
          <w:jc w:val="center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GABRG2</w:t>
            </w:r>
          </w:p>
        </w:tc>
        <w:tc>
          <w:tcPr>
            <w:tcW w:w="3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21489" w:rsidRDefault="00721489" w:rsidP="00721489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10" w:name="aliasMainName9"/>
            <w:bookmarkEnd w:id="10"/>
            <w:r>
              <w:rPr>
                <w:rFonts w:ascii="Times New Roman" w:hAnsi="Times New Roman"/>
                <w:sz w:val="20"/>
                <w:szCs w:val="20"/>
              </w:rPr>
              <w:t>Gamma-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Aminobutyric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Acid Type A Receptor Subunit Gamma2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1489" w:rsidRDefault="00721489" w:rsidP="00721489">
            <w:pPr>
              <w:pStyle w:val="Contenidodelatabla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0.77</w:t>
            </w:r>
          </w:p>
        </w:tc>
      </w:tr>
    </w:tbl>
    <w:p w:rsidR="00721489" w:rsidRDefault="00721489" w:rsidP="00721489">
      <w:pPr>
        <w:spacing w:line="480" w:lineRule="auto"/>
        <w:jc w:val="both"/>
        <w:rPr>
          <w:rFonts w:ascii="Times New Roman" w:hAnsi="Times New Roman"/>
        </w:rPr>
      </w:pP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bCs/>
          <w:color w:val="C9211E"/>
        </w:rPr>
        <w:t>Supplementary Table V.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The top 10 genes in the PCA ranking for the transition from O to </w:t>
      </w:r>
      <w:proofErr w:type="gramStart"/>
      <w:r>
        <w:rPr>
          <w:rFonts w:ascii="Times New Roman" w:hAnsi="Times New Roman"/>
          <w:b/>
          <w:bCs/>
          <w:color w:val="C9211E"/>
        </w:rPr>
        <w:t>AD .</w:t>
      </w:r>
      <w:proofErr w:type="gramEnd"/>
      <w:r>
        <w:rPr>
          <w:rFonts w:ascii="Times New Roman" w:hAnsi="Times New Roman"/>
          <w:b/>
          <w:bCs/>
          <w:color w:val="C9211E"/>
        </w:rPr>
        <w:t xml:space="preserve"> </w:t>
      </w:r>
      <w:r>
        <w:rPr>
          <w:rFonts w:ascii="Times New Roman" w:hAnsi="Times New Roman"/>
          <w:color w:val="000000"/>
        </w:rPr>
        <w:t>Results are based on calculations of Ref.</w:t>
      </w:r>
      <w:r>
        <w:rPr>
          <w:rFonts w:ascii="Times New Roman" w:hAnsi="Times New Roman"/>
          <w:b/>
          <w:bCs/>
          <w:color w:val="C9211E"/>
        </w:rPr>
        <w:t xml:space="preserve"> </w:t>
      </w:r>
      <w:r>
        <w:rPr>
          <w:rFonts w:ascii="Times New Roman" w:hAnsi="Times New Roman"/>
          <w:color w:val="000000"/>
        </w:rPr>
        <w:t xml:space="preserve">[21]. Weights in the unitary vector along PC1 are normalized to the highest one. </w:t>
      </w: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</w:rPr>
      </w:pPr>
    </w:p>
    <w:p w:rsidR="00721489" w:rsidRDefault="00721489" w:rsidP="00721489">
      <w:pPr>
        <w:spacing w:line="480" w:lineRule="auto"/>
        <w:jc w:val="both"/>
        <w:rPr>
          <w:rFonts w:ascii="Times New Roman" w:hAnsi="Times New Roman"/>
        </w:rPr>
      </w:pPr>
    </w:p>
    <w:p w:rsidR="009C15E1" w:rsidRDefault="009C15E1"/>
    <w:sectPr w:rsidR="009C15E1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89"/>
    <w:rsid w:val="00210ABD"/>
    <w:rsid w:val="00572F49"/>
    <w:rsid w:val="00721489"/>
    <w:rsid w:val="0072781C"/>
    <w:rsid w:val="007F2552"/>
    <w:rsid w:val="009C15E1"/>
    <w:rsid w:val="00A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89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721489"/>
    <w:pPr>
      <w:suppressLineNumbers/>
    </w:pPr>
  </w:style>
  <w:style w:type="table" w:styleId="Tablaconcuadrcula">
    <w:name w:val="Table Grid"/>
    <w:basedOn w:val="Tablanormal"/>
    <w:uiPriority w:val="59"/>
    <w:rsid w:val="00721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72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89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721489"/>
    <w:pPr>
      <w:suppressLineNumbers/>
    </w:pPr>
  </w:style>
  <w:style w:type="table" w:styleId="Tablaconcuadrcula">
    <w:name w:val="Table Grid"/>
    <w:basedOn w:val="Tablanormal"/>
    <w:uiPriority w:val="59"/>
    <w:rsid w:val="00721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5">
    <w:name w:val="Medium Grid 3 Accent 5"/>
    <w:basedOn w:val="Tablanormal"/>
    <w:uiPriority w:val="69"/>
    <w:rsid w:val="0072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881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</cp:revision>
  <dcterms:created xsi:type="dcterms:W3CDTF">2025-02-03T16:48:00Z</dcterms:created>
  <dcterms:modified xsi:type="dcterms:W3CDTF">2025-02-03T17:53:00Z</dcterms:modified>
</cp:coreProperties>
</file>