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A FAVOR DE EL (LA) (LOS) SR. (A.) (ES.) Dante Montalván Santisteban , DE OCUPACIÓN  ESTILISTA, ESTADO CIVIL CASADO,  IDENTIFICADO(A)  CON DNI N° 16712921, PARA ESTE ACTO Y MARÍA VIOLETA PISCOYA DAMIAN, DE OCUPACIÓN  ESTILISTA, ESTADO CIVIL CASADA,  IDENTIFICADO(A)  CON DNI N° 16712921, PARA ESTE ACTO, AMBOS CON DOMICILIO EN AV. VICTOR BELAUNDE OESTE 843 URB. EL RETABLO, DEL DISTRITO DE COMAS PROVINCIA DE LIMA, DEPARTAMENTO DE LIMA, CELULAR  944817916, CORREO ELECTRÓNICO _______ A QUIEN(ES) EN LO SUCESIVO SE LE(S) DENOMINARÁ LA PARTE COMPRADORA, 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sz w:val="18"/>
        </w:rPr>
        <w:t xml:space="preserve">LA PARTE VENDEDORA ES PROPIETARIO DE LOS BIENES INMUEBLES IDENTIFICADOS COMO: </w:t>
      </w:r>
    </w:p>
    <w:p>
      <w:pPr>
        <w:ind w:left="500"/>
        <w:jc w:val="both"/>
      </w:pPr>
      <w:r>
        <w:rPr>
          <w:b w:val="true"/>
        </w:rPr>
        <w:t xml:space="preserve">1. </w:t>
      </w:r>
      <w:r>
        <w:rPr>
          <w:rFonts w:ascii="Century Gothic"/>
          <w:sz w:val="18"/>
        </w:rPr>
        <w:t>UBIC, RUR. VALLE DE CHANCAY / SECTOR YENCALA BOGGIANO / PREDIO LA CRUZ – COD. PREDIO. 7_6159260_80375, ÁREA HA. 3.6000 U.C. 80375, DISTRITO DE LAMBAYEQUE, PROVINCIA DE LAMBAYEQUE, DEPARTAMENTO DE LAMBAYEQUE, EN LO SUCESIVO DENOMINADO EL BIEN. LOS LINDEROS, MEDIDAS PERIMÉTRICAS, DESCRIPCIÓN Y DOMINIO DEL BIEN CORREN INSCRITOS EN LA PARTIDA ELECTRÓNICA N° 02272200, DEL REGISTRO DE PREDIOS DE LA ZONA REGISTRAL 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LOS ALTOS DE SAN ROQUE III Y EL CUAL ES MATERIA DE VENTA A TRAVÉS DEL PRESENTE CONTRATO. </w:t>
      </w:r>
    </w:p>
    <w:p>
      <w:r>
        <w:rPr>
          <w:rFonts w:ascii="Century Gothic"/>
          <w:b w:val="true"/>
          <w:sz w:val="18"/>
          <w:u w:val="single"/>
        </w:rPr>
        <w:t>SEGUNDO.</w:t>
      </w:r>
    </w:p>
    <w:p>
      <w:pPr>
        <w:numPr>
          <w:numId w:val="1"/>
        </w:numPr>
      </w:pPr>
      <w:r>
        <w:rPr>
          <w:rFonts w:ascii="Century Gothic"/>
          <w:b w:val="true"/>
          <w:sz w:val="18"/>
        </w:rPr>
        <w:t>OBJETO</w:t>
      </w:r>
    </w:p>
    <w:p>
      <w:pPr>
        <w:jc w:val="both"/>
      </w:pPr>
      <w:r>
        <w:rPr>
          <w:rFonts w:ascii="Century Gothic"/>
          <w:sz w:val="18"/>
        </w:rPr>
        <w:t xml:space="preserve">POR EL PRESENTE CONTRATO, LA PARTE VENDEDORA VENDE A LA PARTE COMPRADORA EL (LOS) LOTE(S) DE TERRENO(S) POR INDEPENDIZAR DEL BIEN DE MAYOR EXTENSIÓN ESPECIFICADO EN LA CLÁUSULA PRIMERA DE ESTE CONTRATO, EL (LOS) CUAL(ES) TIENE(N) LAS SIGUIENTES CARACTERÍSTICAS: </w:t>
      </w:r>
    </w:p>
    <w:p>
      <w:pPr>
        <w:ind w:left="500"/>
      </w:pPr>
      <w:r>
        <w:rPr>
          <w:rFonts w:ascii="Century Gothic"/>
          <w:b w:val="true"/>
          <w:sz w:val="18"/>
        </w:rPr>
        <w:t>1. MANZANA ------ LOTE -------- (ÁREA TOTAL --------- M2)</w:t>
      </w:r>
    </w:p>
    <w:p>
      <w:pPr>
        <w:jc w:val="both"/>
      </w:pPr>
      <w:r>
        <w:rPr>
          <w:rFonts w:ascii="Century Gothic"/>
          <w:sz w:val="18"/>
        </w:rPr>
        <w:t>EL ÁREA DE EL LOTE, MATERIA DE ESTE CONTRATO, SE ENCUENTRA DENTRO DE LA MANZANA ---- LOTE ---- EN LA CUAL CONSTA UN ÁREA DE ---- M2 Y QUE FORMA PARTE DEL PROYECTO DE LOTIZACIÓN DEL BIEN DE MAYOR EXTENSIÓN ESPECIFICADO EN LA CLÁUSULA PRIMERA DE ESTE CONTRATO PARTIDA ELECTRÓNICA: 02272200</w:t>
      </w:r>
    </w:p>
    <w:p>
      <w:r>
        <w:rPr>
          <w:rFonts w:ascii="Century Gothic"/>
          <w:b w:val="true"/>
          <w:sz w:val="18"/>
          <w:u w:val="single"/>
        </w:rPr>
        <w:t>LINDEROS Y MEDIDAS PERIMÉTRICAS:</w:t>
      </w:r>
    </w:p>
    <w:p>
      <w:pPr>
        <w:ind w:left="500"/>
      </w:pPr>
      <w:r>
        <w:rPr>
          <w:rFonts w:ascii="Century Gothic"/>
          <w:sz w:val="18"/>
        </w:rPr>
        <w:t>Área del lote:     --------m2</w:t>
        <w:br/>
        <w:t xml:space="preserve">Perímetro del lote:	--------ml </w:t>
        <w:br/>
        <w:br/>
        <w:t>LINDEROS</w:t>
        <w:br/>
        <w:t>Frente         : Con Calle ----; con ---- ml.</w:t>
        <w:br/>
        <w:t>Fondo         : Con -------; con ------ ml.</w:t>
        <w:br/>
        <w:t>Derecha     : Con ---------; con ---- ml.</w:t>
        <w:br/>
        <w:t>Izquierda    : Con ---------; con ----- ml.</w:t>
      </w:r>
    </w:p>
    <w:p>
      <w:r>
        <w:rPr>
          <w:rFonts w:ascii="Century Gothic"/>
          <w:sz w:val="18"/>
        </w:rPr>
        <w:t>LA PARTE VENDEDORA SE COMPROMETE A ENTREGAR LA UNIDAD INMOBILIARIA MATERIA DE LA PRESENTE COMPRA VENTA EN LAS CONDICIONES QUE SE ESTIPULAN EN EL PRESENTE CONTRATO Y QUE LA PARTE COMPRADORA ACEPTAN EXPRESAMENTE.</w:t>
      </w:r>
    </w:p>
    <w:p>
      <w:r>
        <w:rPr>
          <w:rFonts w:ascii="Century Gothic"/>
          <w:b w:val="true"/>
          <w:sz w:val="18"/>
          <w:u w:val="single"/>
        </w:rP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EL (LOS) LOTE(S) DESCRITO EN LA CLÁUSULA SEGUNDA ES DE S./------------- (-------------- Y -----/100 SOLES), EL CUAL SE PAGARÁ DE LA SIGUIENTE MANERA: </w:t>
      </w:r>
    </w:p>
    <w:p>
      <w:pPr>
        <w:ind w:left="500"/>
        <w:jc w:val="both"/>
      </w:pPr>
      <w:r>
        <w:rPr>
          <w:b w:val="true"/>
        </w:rPr>
        <w:t xml:space="preserve">1. </w:t>
      </w:r>
      <w:r>
        <w:rPr>
          <w:rFonts w:ascii="Century Gothic"/>
          <w:sz w:val="18"/>
        </w:rPr>
        <w:t>COMO INICIAL, EL MONTO DE S./---------- (---------- Y ---/100 SOLES) CON DEPÓSITO(S) EN CUENTA DEL BANCO INTERBANK, CON NÚMERO DE CUENTA 8983003839960, CCI 00389800300383996043 Y/O EN CUENTA DEL BANCO BBVA CON NÚMERO DE CUENTA  0011 0285 01 00180945, CCI 011 285 000100180945 46 Y/O EN CUENTA DE CAJA TRUJILLO CON NÚMERO DE CUENTA 122321409341, CCI 80201200232140934153 Y/O EN CUENTA(S) DE CAJA PIURA EN SOLES 210-01-4775107, CCI 80104521001477510763, EN DÓLARES 210-02-3090720, CCI 80104521002309072062, 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EL (LOS) LOTE(S) SE DA A RAZÓN DE LA POLÍTICA DE FINANCIAMIENTO DIRECTO QUE BRINDA LA PARTE VENDEDORA, PARA LO CUAL LA PARTE COMPRADORA TIENE VARIAS OPCIONES, LAS CUALES ADOPTARÁN SEGÚN SU CRITERIO Y MEJOR PARECER; A CONTINUACIÓN, DENTRO DE LOS ESPACIOS SEÑALADOS ELEGIR LA OPCION DE PAGO: </w:t>
      </w:r>
    </w:p>
    <w:p>
      <w:pPr>
        <w:ind w:left="800"/>
      </w:pPr>
      <w:r>
        <w:rPr>
          <w:rFonts w:ascii="Century Gothic"/>
          <w:sz w:val="18"/>
        </w:rPr>
        <w:t>- PAGO DEL SALDO EN ---------- CUOTAS MENSUALES.</w:t>
      </w:r>
    </w:p>
    <w:p>
      <w:pPr>
        <w:jc w:val="both"/>
      </w:pPr>
      <w:r>
        <w:rPr>
          <w:rFonts w:ascii="Century Gothic"/>
          <w:sz w:val="18"/>
        </w:rPr>
        <w:t>LOS PAGOS MENSUALES A QUE ALUDE LA CLÁUSULA PRECEDENTE, EN LA OPCIÓN SEÑALADA POR LA PARTE COMPRADORA SE EFECTUARÁN EL DÍA -------- DE CADA MES CON DEPÓSITO EN LA CUENTA A FAVOR DE LA PARTE VENDEDORA, LA CUAL PERTENECE AL BANCO INTERBANK, CON NÚMERO DE CUENTA 8983003839960, CCI 00389800300383996043 Y/O EN CUENTA DEL BANCO BBVA CON NÚMERO DE CUENTA  0011 0285 01 00180945, CCI 011 285 000100180945 46 Y/O EN CUENTA DE CAJA TRUJILLO CON NÚMERO DE CUENTA 122321409341, CCI 80201200232140934153 Y/O EN CUENTAS DE CAJA PIURA EN SOLES 210-01-4775107, CCI 80104521001477510763, EN DÓLARES 210-02-3090720, CCI 80104521002309072062; SIN NECESIDAD DE NOTIFICACIÓN, CARTA CURSADA, MEDIO NOTARIAL O REQUERIMIENTO ALGUNO, SI TRANSCURRIDO DICHO TÉRMINO, LA PARTE COMPRADORA INCURRE EN MORA, AUTOMÁTICAMENTE LA PARTE VENDEDORA 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 MESES, MZ -----  LOTE (S) -------DE TERRENO(S) DE UN BIEN INMUEBLE DE MAYOR EXTENSIÓN, LAS PARTES PRECISAN QUE POR ACUERDO INTERNO, LA PARTE COMPRADORA UNA VEZ CANCELADO EL SALDO POR EL TOTAL DEL PRECIO DE EL (LOS) LOTE(S), SOLICITARÁ A LA PARTE VENDEDORA, LA FORMALIZACIÓN DE LA MINUTA Y POSTERIOR ESCRITURA PÚBLICA DE COMPRA VENTA, PARA QUE PUEDA(N) REALIZAR LOS DIFERENTES PROCEDIMIENTOS ADMINISTRATIVOS, MUNICIPALES, NOTARIALES Y REGISTRALES EN PRO DE SU INSCRIPCIÓN DE INDEPENDIZACIÓN, PARA LO CUAL LA PARTE COMPRADORA CORRERÁ CON LOS GASTOS Y TRÁMITES QUE EL PROCESO ADMINISTRATIVO, MUNICIPAL, NOTARIAL Y REGISTRAL IMPLICA. </w:t>
      </w:r>
    </w:p>
    <w:p>
      <w:pPr>
        <w:jc w:val="both"/>
      </w:pPr>
      <w:r>
        <w:rPr>
          <w:rFonts w:ascii="Century Gothic"/>
          <w:sz w:val="18"/>
        </w:rPr>
        <w:t xml:space="preserve">LA PARTE COMPRADORA 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 </w:t>
      </w:r>
    </w:p>
    <w:p>
      <w:pPr>
        <w:numPr>
          <w:numId w:val="1"/>
        </w:numPr>
      </w:pPr>
      <w:r>
        <w:rPr>
          <w:rFonts w:ascii="Century Gothic"/>
          <w:b w:val="true"/>
          <w:sz w:val="18"/>
        </w:rPr>
        <w:t>ALCANCES DE LA COMPRAVENTA DEFINITIVA</w:t>
      </w:r>
    </w:p>
    <w:p>
      <w:pPr>
        <w:jc w:val="both"/>
      </w:pPr>
      <w:r>
        <w:rPr>
          <w:rFonts w:ascii="Century Gothic"/>
          <w:sz w:val="18"/>
        </w:rPr>
        <w:t>LA VENTA DE (LOS) LOTE(S), COMPRENDERÁ TODO CUANTO DE HECHO Y POR DERECHO CORRESPONDE A EL (LOS) LOTE(S), SIN RESERVA NI LIMITACIÓN ALGUNA, INCLUYENDO EL SUELO, SUBSUELO, SOBRESUELO, LAS CONSTRUCCIONES Y DERECHOS SOBRE ÉL, LOS AIRES, ENTRADAS, SALIDAS Y CUALQUIER DERECHO QUE LE CORRESPONDA A EL (LOS) LOTE(S).</w:t>
      </w:r>
    </w:p>
    <w:p>
      <w:pPr>
        <w:numPr>
          <w:numId w:val="1"/>
        </w:numPr>
      </w:pPr>
      <w:r>
        <w:rPr>
          <w:rFonts w:ascii="Century Gothic"/>
          <w:b w:val="true"/>
          <w:sz w:val="18"/>
        </w:rPr>
        <w:t>ENTREGA DE “LOS LOTES”:</w:t>
      </w:r>
    </w:p>
    <w:p>
      <w:pPr>
        <w:jc w:val="both"/>
      </w:pPr>
      <w:r>
        <w:rPr>
          <w:rFonts w:ascii="Century Gothic"/>
          <w:sz w:val="18"/>
        </w:rPr>
        <w:t>LAS PARTES PRECISAN, QUE LA ENTREGA DE LA POSESIÓN DE EL (LOS) LOTE(S), SE REALIZARÁ A LA CANCELACIÓN DEL SALDO POR PARTE DE LA PARTE COMPRADORA CON LA VERIFICACIÓN DE LOS DEPÓSITOS REALIZADOS EN LA CUENTA DE LA PARTE VENDEDORA, 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LAS PARTES DECLARAN QUE ENTRE EL PRECIO Y EL (LOS) LOTE(S) 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t>QUINTO.</w:t>
      </w:r>
    </w:p>
    <w:p>
      <w:pPr>
        <w:numPr>
          <w:numId w:val="1"/>
        </w:numPr>
      </w:pPr>
      <w:r>
        <w:rPr>
          <w:rFonts w:ascii="Century Gothic"/>
          <w:b w:val="true"/>
          <w:sz w:val="18"/>
        </w:rPr>
        <w:t>LIBRE DISPONIBILIDAD DE DOMINIO.</w:t>
      </w:r>
    </w:p>
    <w:p>
      <w:pPr>
        <w:jc w:val="both"/>
      </w:pPr>
      <w:r>
        <w:rPr>
          <w:rFonts w:ascii="Century Gothic"/>
          <w:sz w:val="18"/>
        </w:rPr>
        <w:t>LA PARTE VENDEDORA DECLARA QUE TRANSFIERE A LA PARTE COMPRADORA EL (LOS) LOTE(S) 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EL (LOS) LOTE(S) MATERIA DEL PRESENTE CONTRATO, POSESIÓN O USO EL (LOS) LOTE(S).</w:t>
      </w:r>
    </w:p>
    <w:p>
      <w:pPr>
        <w:jc w:val="both"/>
      </w:pPr>
      <w:r>
        <w:rPr>
          <w:rFonts w:ascii="Century Gothic"/>
          <w:sz w:val="18"/>
        </w:rPr>
        <w:t>QUE, SIN PERJUICIO DE LO SEÑALADO EN EL PÁRRAFO ANTERIOR, CON RELACIÓN A EL (LOS) LOTE(S), 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QUE, EL (LOS) LOTE(S) 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EL (LOS) LOTE(S) NO SE ENCUENTRA(N) EN ZONA MONUMENTAL O ZONA ARQUEOLÓGICA QUE IMPIDA O DIFICULTE EL DESARROLLO DE CUALQUIER PROYECTO INMOBILIARIO. </w:t>
      </w:r>
    </w:p>
    <w:p>
      <w:r>
        <w:rPr>
          <w:rFonts w:ascii="Century Gothic"/>
          <w:b w:val="true"/>
          <w:sz w:val="18"/>
          <w:u w:val="single"/>
        </w:rP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PAGAR EL IMPUESTO PREDIAL Y ARBITRIOS, UNA VEZ ADQUIRIDO(S) EL (LOS) LOTE(S) Y DECLARADO(S) ANTE LA MUNICIPALIDAD DISTRITAL RESPECTIVA.</w:t>
      </w:r>
    </w:p>
    <w:p>
      <w:r>
        <w:rPr>
          <w:rFonts w:ascii="Century Gothic"/>
          <w:b w:val="true"/>
          <w:sz w:val="18"/>
          <w:u w:val="single"/>
        </w:rP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INSTALACIÓN DE LUZ Y AGUA EN EL PROYECTO INMOBILIARIO, CON REDES TRONCALES, MAS NO EN EL (LOS) LOTE(S) 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OTORGAMIENTO DE MINUTAS Y ESCRITURAS PÚBLICAS A LA CANCELACIÓN DE LOS SALDOS POR COMPRA DE EL (LOS) LOTE(S).</w:t>
      </w:r>
    </w:p>
    <w:p>
      <w:r>
        <w:rPr>
          <w:rFonts w:ascii="Century Gothic"/>
          <w:b w:val="true"/>
          <w:sz w:val="18"/>
          <w:u w:val="single"/>
        </w:rPr>
        <w:t>OCTAVO.</w:t>
      </w:r>
    </w:p>
    <w:p>
      <w:pPr>
        <w:numPr>
          <w:numId w:val="1"/>
        </w:numPr>
      </w:pPr>
      <w:r>
        <w:rPr>
          <w:rFonts w:ascii="Century Gothic"/>
          <w:b w:val="true"/>
          <w:sz w:val="18"/>
        </w:rPr>
        <w:t>PAGO DE TRIBUTOS Y OTRAS IMPOSICIONES.</w:t>
      </w:r>
    </w:p>
    <w:p>
      <w:pPr>
        <w:jc w:val="both"/>
      </w:pPr>
      <w:r>
        <w:rPr>
          <w:rFonts w:ascii="Century Gothic"/>
          <w:sz w:val="18"/>
        </w:rPr>
        <w:t>LA PARTE VENDEDORA 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LA PARTE COMPRADORA.</w:t>
      </w:r>
    </w:p>
    <w:p>
      <w:r>
        <w:rPr>
          <w:rFonts w:ascii="Century Gothic"/>
          <w:b w:val="true"/>
          <w:sz w:val="18"/>
          <w:u w:val="single"/>
        </w:rPr>
        <w:t>NOVENO.</w:t>
      </w:r>
    </w:p>
    <w:p>
      <w:pPr>
        <w:numPr>
          <w:numId w:val="1"/>
        </w:numPr>
      </w:pPr>
      <w:r>
        <w:rPr>
          <w:rFonts w:ascii="Century Gothic"/>
          <w:b w:val="true"/>
          <w:sz w:val="18"/>
        </w:rPr>
        <w:t>TRIBUTOS QUE AFECTAN AL CONTRATO.</w:t>
      </w:r>
    </w:p>
    <w:p>
      <w:pPr>
        <w:jc w:val="both"/>
      </w:pPr>
      <w:r>
        <w:rPr>
          <w:rFonts w:ascii="Century Gothic"/>
          <w:sz w:val="18"/>
        </w:rPr>
        <w:t>ES DE CARGO DE  LA PARTE COMPRADORA EL PAGO DEL IMPUESTO DE ALCABALA A QUE HUBIERE LUGAR.</w:t>
      </w:r>
    </w:p>
    <w:p>
      <w:r>
        <w:rPr>
          <w:rFonts w:ascii="Century Gothic"/>
          <w:b w:val="true"/>
          <w:sz w:val="18"/>
          <w:u w:val="single"/>
        </w:rPr>
        <w:t>DÉCIMO.</w:t>
      </w:r>
    </w:p>
    <w:p>
      <w:pPr>
        <w:jc w:val="both"/>
      </w:pPr>
      <w:r>
        <w:rPr>
          <w:rFonts w:ascii="Century Gothic"/>
          <w:sz w:val="18"/>
        </w:rPr>
        <w:t>LA PARTE COMPRADORA SE HARÁ CARGO DE LOS GASTOS NOTARIALES QUE GENEREN LA MINUTA Y ESCRITURA PÚBLICA DE COMPRAVENTA DEFINITIVA.</w:t>
      </w:r>
    </w:p>
    <w:p>
      <w:r>
        <w:rPr>
          <w:rFonts w:ascii="Century Gothic"/>
          <w:b w:val="true"/>
          <w:sz w:val="18"/>
          <w:u w:val="single"/>
        </w:rP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t>DÉCIMO CUARTO.</w:t>
      </w:r>
    </w:p>
    <w:p>
      <w:pPr>
        <w:numPr>
          <w:numId w:val="1"/>
        </w:numPr>
      </w:pPr>
      <w:r>
        <w:rPr>
          <w:rFonts w:ascii="Century Gothic"/>
          <w:b w:val="true"/>
          <w:sz w:val="18"/>
        </w:rPr>
        <w:t>BENEFICIO POR CONDUCTA DE BUEN PAGADOR.</w:t>
      </w:r>
    </w:p>
    <w:p>
      <w:pPr>
        <w:jc w:val="both"/>
      </w:pPr>
      <w:r>
        <w:rPr>
          <w:rFonts w:ascii="Century Gothic"/>
          <w:sz w:val="18"/>
        </w:rPr>
        <w:t>SI EL PAGO DE EL (LOS) LOTE(S) QUE ADQUIEREN LA PARTE COMPRADORA 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“LA PARTE VENDEDORA”.</w:t>
      </w:r>
    </w:p>
    <w:p>
      <w:r>
        <w:rPr>
          <w:rFonts w:ascii="Century Gothic"/>
          <w:b w:val="true"/>
          <w:sz w:val="18"/>
          <w:u w:val="single"/>
        </w:rPr>
        <w:t>DÉCIMO QUINTO.</w:t>
      </w:r>
    </w:p>
    <w:p>
      <w:pPr>
        <w:numPr>
          <w:numId w:val="1"/>
        </w:numPr>
      </w:pPr>
      <w:r>
        <w:rPr>
          <w:rFonts w:ascii="Century Gothic"/>
          <w:b w:val="true"/>
          <w:sz w:val="18"/>
        </w:rPr>
        <w:t>RESOLUCIÓN DE CONTRATO.</w:t>
      </w:r>
    </w:p>
    <w:p>
      <w:pPr>
        <w:jc w:val="both"/>
      </w:pPr>
      <w:r>
        <w:rPr>
          <w:rFonts w:ascii="Century Gothic"/>
          <w:sz w:val="18"/>
        </w:rPr>
        <w:t>LAS PARTES ESTABLECEN MEDIANTE ESTA CLÁUSULA QUE; ANTE EL INCUMPLIMIENTO DE LA PARTE COMPRADORA DE TRES(03) CUOTAS SUCESIVAS O NO DE LOS PAGOS EN LOS PLAZOS ESTABLECIDOS DE LAS CUOTAS CONSIGNADAS EN LA TERCERA CLÁUSULA DE ESTE CONTRATO, LA PARTE VENDEDORA PUEDE UNILATERALMETE RESOLVER EL CONTRATO; O EN SU DEFECTO; EXIGIR EL PAGO TOTAL DEL SALDO DEUDOR A  LA PARTE COMPRADORA, PARA LO CUAL REMITIRÁ LA NOTIFICACIÓN RESPECTIVA  AL DOMICILIO QUE LA PARTE COMPRADORA HAYA SEÑALADO COMO SUYO EN LA PRIMERA CLÁUSULA DE ESTE CONTRATO, EL PLAZO MÁXIMO DE CONTESTACIÓN QUE TENDRÁN LA PARTE COMPRADORA SERÁ DE TRES (03) DIAS CALENDARIO, A PARTIR DE HABER RECIBIDO LA NOTIFICACIÓN; SEA QUE HAYA SIDO RECIBIDA POR LA PARTE COMPRADORA, 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LA PARTE VENDEDORA.</w:t>
      </w:r>
    </w:p>
    <w:p>
      <w:r>
        <w:rPr>
          <w:rFonts w:ascii="Century Gothic"/>
          <w:b w:val="true"/>
          <w:sz w:val="18"/>
          <w:u w:val="single"/>
        </w:rP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 (------) DÍAS DEL MES DE  --------- DE 202-- (---------------).</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05/04/2021</w:t>
            </w:r>
          </w:p>
        </w:tc>
      </w:tr>
      <w:tr>
        <w:tc>
          <w:p>
            <w:r>
              <w:t xml:space="preserve">Comprador(es): 
 hola </w:t>
            </w:r>
          </w:p>
        </w:tc>
        <w:tc>
          <w:p>
            <w:r>
              <w:t xml:space="preserve">D.N.I: </w:t>
            </w:r>
          </w:p>
        </w:tc>
      </w:tr>
      <w:tr>
        <w:tc>
          <w:p>
            <w:r>
              <w:t xml:space="preserve">Monto Total: </w:t>
            </w:r>
          </w:p>
        </w:tc>
        <w:tc>
          <w:p>
            <w:r>
              <w:t xml:space="preserve">Monto Deuda: </w:t>
            </w:r>
          </w:p>
        </w:tc>
      </w:tr>
      <w:tr>
        <w:tc>
          <w:p>
            <w:r>
              <w:t xml:space="preserve">N° Cuotas: </w:t>
            </w:r>
          </w:p>
        </w:tc>
        <w:tc>
          <w:p>
            <w:r>
              <w:t>Moneda:</w:t>
            </w:r>
          </w:p>
        </w:tc>
      </w:tr>
      <w:tr>
        <w:tc>
          <w:p>
            <w:r>
              <w:t>Cuotas Pendientes:</w:t>
            </w:r>
          </w:p>
        </w:tc>
        <w:tc>
          <w:p>
            <w:r>
              <w:t>Interés:</w:t>
            </w:r>
          </w:p>
        </w:tc>
      </w:tr>
      <w:tr>
        <w:tc>
          <w:p>
            <w:r>
              <w:t>Mz:</w:t>
            </w:r>
          </w:p>
        </w:tc>
        <w:tc>
          <w:p>
            <w:r>
              <w:t>Lote:</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w:t>
            </w:r>
          </w:p>
        </w:tc>
        <w:tc>
          <w:tcPr>
            <w:vAlign w:val="center"/>
          </w:tcPr>
          <w:p>
            <w:pPr>
              <w:jc w:val="center"/>
            </w:pPr>
            <w:r>
              <w:t>2000.0</w:t>
            </w:r>
          </w:p>
        </w:tc>
        <w:tc>
          <w:tcPr>
            <w:vAlign w:val="center"/>
          </w:tcPr>
          <w:p>
            <w:pPr>
              <w:jc w:val="center"/>
            </w:pPr>
            <w:r>
              <w:t>0.0</w:t>
            </w:r>
          </w:p>
        </w:tc>
        <w:tc>
          <w:tcPr>
            <w:vAlign w:val="center"/>
          </w:tcPr>
          <w:p>
            <w:pPr>
              <w:jc w:val="center"/>
            </w:pPr>
            <w:r>
              <w:t>0.0</w:t>
            </w:r>
          </w:p>
        </w:tc>
        <w:tc>
          <w:tcPr>
            <w:vAlign w:val="center"/>
          </w:tcPr>
          <w:p>
            <w:pPr>
              <w:jc w:val="center"/>
            </w:pPr>
            <w:r>
              <w:t>0.0</w:t>
            </w:r>
          </w:p>
        </w:tc>
      </w:tr>
      <w:tr>
        <w:tc>
          <w:tcPr>
            <w:vAlign w:val="center"/>
          </w:tcPr>
          <w:p>
            <w:pPr>
              <w:jc w:val="center"/>
            </w:pPr>
            <w:r>
              <w:t>1</w:t>
            </w:r>
          </w:p>
        </w:tc>
        <w:tc>
          <w:tcPr>
            <w:vAlign w:val="center"/>
          </w:tcPr>
          <w:p>
            <w:pPr>
              <w:jc w:val="center"/>
            </w:pPr>
            <w:r>
              <w:t>-</w:t>
            </w:r>
          </w:p>
        </w:tc>
        <w:tc>
          <w:tcPr>
            <w:vAlign w:val="center"/>
          </w:tcPr>
          <w:p>
            <w:pPr>
              <w:jc w:val="center"/>
            </w:pPr>
            <w:r>
              <w:t>0.0</w:t>
            </w:r>
          </w:p>
        </w:tc>
        <w:tc>
          <w:tcPr>
            <w:vAlign w:val="center"/>
          </w:tcPr>
          <w:p>
            <w:pPr>
              <w:jc w:val="center"/>
            </w:pPr>
            <w:r>
              <w:t>1337.0</w:t>
            </w:r>
          </w:p>
        </w:tc>
        <w:tc>
          <w:tcPr>
            <w:vAlign w:val="center"/>
          </w:tcPr>
          <w:p>
            <w:pPr>
              <w:jc w:val="center"/>
            </w:pPr>
            <w:r>
              <w:t>80.0</w:t>
            </w:r>
          </w:p>
        </w:tc>
        <w:tc>
          <w:tcPr>
            <w:vAlign w:val="center"/>
          </w:tcPr>
          <w:p>
            <w:pPr>
              <w:jc w:val="center"/>
            </w:pPr>
            <w:r>
              <w:t>1417.0</w:t>
            </w:r>
          </w:p>
        </w:tc>
      </w:tr>
      <w:tr>
        <w:tc>
          <w:tcPr>
            <w:vAlign w:val="center"/>
          </w:tcPr>
          <w:p>
            <w:pPr>
              <w:jc w:val="center"/>
            </w:pPr>
            <w:r>
              <w:t>2</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3</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4</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5</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6</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7</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8</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9</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10</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11</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12</w:t>
            </w:r>
          </w:p>
        </w:tc>
        <w:tc>
          <w:tcPr>
            <w:vAlign w:val="center"/>
          </w:tcPr>
          <w:p>
            <w:pPr>
              <w:jc w:val="center"/>
            </w:pPr>
            <w:r>
              <w:t>-</w:t>
            </w:r>
          </w:p>
        </w:tc>
        <w:tc>
          <w:tcPr>
            <w:vAlign w:val="center"/>
          </w:tcPr>
          <w:p>
            <w:pPr>
              <w:jc w:val="center"/>
            </w:pPr>
            <w:r>
              <w:t>0.0</w:t>
            </w:r>
          </w:p>
        </w:tc>
        <w:tc>
          <w:tcPr>
            <w:vAlign w:val="center"/>
          </w:tcPr>
          <w:p>
            <w:pPr>
              <w:jc w:val="center"/>
            </w:pPr>
            <w:r>
              <w:t>1333.0</w:t>
            </w:r>
          </w:p>
        </w:tc>
        <w:tc>
          <w:tcPr>
            <w:vAlign w:val="center"/>
          </w:tcPr>
          <w:p>
            <w:pPr>
              <w:jc w:val="center"/>
            </w:pPr>
            <w:r>
              <w:t>80.0</w:t>
            </w:r>
          </w:p>
        </w:tc>
        <w:tc>
          <w:tcPr>
            <w:vAlign w:val="center"/>
          </w:tcPr>
          <w:p>
            <w:pPr>
              <w:jc w:val="center"/>
            </w:pPr>
            <w:r>
              <w:t>1413.0</w:t>
            </w:r>
          </w:p>
        </w:tc>
      </w:tr>
      <w:tr>
        <w:tc>
          <w:tcPr>
            <w:vAlign w:val="center"/>
          </w:tcPr>
          <w:p>
            <w:pPr>
              <w:jc w:val="center"/>
            </w:pPr>
            <w:r>
              <w:t>TOTAL</w:t>
            </w:r>
          </w:p>
        </w:tc>
        <w:tc>
          <w:tcPr>
            <w:vAlign w:val="center"/>
          </w:tcPr>
          <w:p>
            <w:pPr>
              <w:jc w:val="center"/>
            </w:pPr>
            <w:r>
              <w:t>-</w:t>
            </w:r>
          </w:p>
        </w:tc>
        <w:tc>
          <w:tcPr>
            <w:vAlign w:val="center"/>
          </w:tcPr>
          <w:p>
            <w:pPr>
              <w:jc w:val="center"/>
            </w:pPr>
            <w:r>
              <w:t>2000.0</w:t>
            </w:r>
          </w:p>
        </w:tc>
        <w:tc>
          <w:tcPr>
            <w:vAlign w:val="center"/>
          </w:tcPr>
          <w:p>
            <w:pPr>
              <w:jc w:val="center"/>
            </w:pPr>
            <w:r>
              <w:t>16000.0</w:t>
            </w:r>
          </w:p>
        </w:tc>
        <w:tc>
          <w:tcPr>
            <w:vAlign w:val="center"/>
          </w:tcPr>
          <w:p>
            <w:pPr>
              <w:jc w:val="center"/>
            </w:pPr>
            <w:r>
              <w:t>960.0</w:t>
            </w:r>
          </w:p>
        </w:tc>
        <w:tc>
          <w:tcPr>
            <w:vAlign w:val="center"/>
          </w:tcPr>
          <w:p>
            <w:pPr>
              <w:jc w:val="center"/>
            </w:pPr>
            <w:r>
              <w:t>16960.0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2023-02-21T02:48:20Z</dcterms:created>
  <dc:creator>Apache POI</dc:creator>
</coreProperties>
</file>