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68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1"/>
      </w:pPr>
      <w:r>
        <w:t>ГЛАВА 1. АНАЛИЗ ПРОБЛЕМЫ И ПОСТАНОВКА ЗАДАЧИ</w:t>
      </w:r>
    </w:p>
    <w:p>
      <w:pPr/>
      <w:r>
        <w:t>В данной главе формализуются предметная область, ключевые барьеры информационной адаптации иностранных студентов и целевые требования к интеллектуальному ассистенту, которые определяют дальнейшие архитектурные и эксплуатационные решения.</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1"/>
      </w:pPr>
      <w:r>
        <w:t>ГЛАВА 2. ПРОЕКТИРОВАНИЕ И АРХИТЕКТУРА СИСТЕМЫ</w:t>
      </w:r>
    </w:p>
    <w:p>
      <w:pPr/>
      <w:r>
        <w:t>Во второй главе представлена архитектура системы, логика проектных решений и взаимосвязь модулей поиска, генерации, персонализации и контроля достоверности.</w:t>
      </w:r>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r>
        <w:drawing>
          <wp:inline xmlns:a="http://schemas.openxmlformats.org/drawingml/2006/main" xmlns:pic="http://schemas.openxmlformats.org/drawingml/2006/picture">
            <wp:extent cx="5029200" cy="3418260"/>
            <wp:docPr id="18" name="Picture 18"/>
            <wp:cNvGraphicFramePr>
              <a:graphicFrameLocks noChangeAspect="1"/>
            </wp:cNvGraphicFramePr>
            <a:graphic>
              <a:graphicData uri="http://schemas.openxmlformats.org/drawingml/2006/picture">
                <pic:pic>
                  <pic:nvPicPr>
                    <pic:cNvPr id="0" name="fig_arquitectura.png"/>
                    <pic:cNvPicPr/>
                  </pic:nvPicPr>
                  <pic:blipFill>
                    <a:blip r:embed="rId25"/>
                    <a:stretch>
                      <a:fillRect/>
                    </a:stretch>
                  </pic:blipFill>
                  <pic:spPr>
                    <a:xfrm>
                      <a:off x="0" y="0"/>
                      <a:ext cx="5029200" cy="3418260"/>
                    </a:xfrm>
                    <a:prstGeom prst="rect"/>
                  </pic:spPr>
                </pic:pic>
              </a:graphicData>
            </a:graphic>
          </wp:inline>
        </w:drawing>
      </w:r>
      <w:r>
        <w:drawing>
          <wp:inline xmlns:a="http://schemas.openxmlformats.org/drawingml/2006/main" xmlns:pic="http://schemas.openxmlformats.org/drawingml/2006/picture">
            <wp:extent cx="5029200" cy="3418260"/>
            <wp:docPr id="21" name="Picture 21"/>
            <wp:cNvGraphicFramePr>
              <a:graphicFrameLocks noChangeAspect="1"/>
            </wp:cNvGraphicFramePr>
            <a:graphic>
              <a:graphicData uri="http://schemas.openxmlformats.org/drawingml/2006/picture">
                <pic:pic>
                  <pic:nvPicPr>
                    <pic:cNvPr id="0" name="fig_arquitectura.png"/>
                    <pic:cNvPicPr/>
                  </pic:nvPicPr>
                  <pic:blipFill>
                    <a:blip r:embed="rId28"/>
                    <a:stretch>
                      <a:fillRect/>
                    </a:stretch>
                  </pic:blipFill>
                  <pic:spPr>
                    <a:xfrm>
                      <a:off x="0" y="0"/>
                      <a:ext cx="5029200" cy="3418260"/>
                    </a:xfrm>
                    <a:prstGeom prst="rect"/>
                  </pic:spPr>
                </pic:pic>
              </a:graphicData>
            </a:graphic>
          </wp:inline>
        </w:drawing>
      </w:r>
    </w:p>
    <w:p/>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t>Процесс обработки пользовательского запроса включает несколько последовательных этапов, общая схема которых представлена на рисунке 3.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r>
        <w:t>В текущей реализации контроль достоверности выполняется каскадно: сначала вычисляется показатель фактологической обоснованности (grounding/faithfulness), затем применяется модуль модуль контроля цитирования (citation_guard), который принудительно проверяет наличие подтверждающих источников. Для чувствительных доменов (виза, регистрация, административные процедуры) применяется более строгий порог принятия ответа.</w:t>
      </w:r>
    </w:p>
    <w:p>
      <w:pPr/>
      <w:r>
        <w:t>Если уровень обоснованности ниже порога или источники недостаточны, система активирует политику воздержания: вместо гипотетического ответа выдаётся безопасное сообщение с направлением пользователя к официальным каналам (университет, миграционные службы, МФЦ). Такой режим уменьшает риск распространения недостоверных сведений.</w:t>
      </w:r>
    </w:p>
    <w:p>
      <w:pPr>
        <w:jc w:val="center"/>
      </w:pPr>
      <w:r>
        <w:drawing>
          <wp:inline xmlns:a="http://schemas.openxmlformats.org/drawingml/2006/main" xmlns:pic="http://schemas.openxmlformats.org/drawingml/2006/picture">
            <wp:extent cx="5303520" cy="3806056"/>
            <wp:docPr id="24" name="Picture 24"/>
            <wp:cNvGraphicFramePr>
              <a:graphicFrameLocks noChangeAspect="1"/>
            </wp:cNvGraphicFramePr>
            <a:graphic>
              <a:graphicData uri="http://schemas.openxmlformats.org/drawingml/2006/picture">
                <pic:pic>
                  <pic:nvPicPr>
                    <pic:cNvPr id="0" name="fig_grounding_pipeline.png"/>
                    <pic:cNvPicPr/>
                  </pic:nvPicPr>
                  <pic:blipFill>
                    <a:blip r:embed="rId31"/>
                    <a:stretch>
                      <a:fillRect/>
                    </a:stretch>
                  </pic:blipFill>
                  <pic:spPr>
                    <a:xfrm>
                      <a:off x="0" y="0"/>
                      <a:ext cx="5303520" cy="3806056"/>
                    </a:xfrm>
                    <a:prstGeom prst="rect"/>
                  </pic:spPr>
                </pic:pic>
              </a:graphicData>
            </a:graphic>
          </wp:inline>
        </w:drawing>
      </w:r>
    </w:p>
    <w:p>
      <w:pPr>
        <w:jc w:val="center"/>
      </w:pPr>
      <w:r>
        <w:t>Рисунок 2 – Конвейер проверки обоснованности, модуля цитирования и политики воздержания</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5029200" cy="3342492"/>
            <wp:docPr id="22" name="Picture 22"/>
            <wp:cNvGraphicFramePr>
              <a:graphicFrameLocks noChangeAspect="1"/>
            </wp:cNvGraphicFramePr>
            <a:graphic>
              <a:graphicData uri="http://schemas.openxmlformats.org/drawingml/2006/picture">
                <pic:pic>
                  <pic:nvPicPr>
                    <pic:cNvPr id="0" name="fig_rag_detalle.png"/>
                    <pic:cNvPicPr/>
                  </pic:nvPicPr>
                  <pic:blipFill>
                    <a:blip r:embed="rId29"/>
                    <a:stretch>
                      <a:fillRect/>
                    </a:stretch>
                  </pic:blipFill>
                  <pic:spPr>
                    <a:xfrm>
                      <a:off x="0" y="0"/>
                      <a:ext cx="5029200" cy="3342492"/>
                    </a:xfrm>
                    <a:prstGeom prst="rect"/>
                  </pic:spPr>
                </pic:pic>
              </a:graphicData>
            </a:graphic>
          </wp:inline>
        </w:drawing>
      </w:r>
      <w:r>
        <w:drawing>
          <wp:inline xmlns:a="http://schemas.openxmlformats.org/drawingml/2006/main" xmlns:pic="http://schemas.openxmlformats.org/drawingml/2006/picture">
            <wp:extent cx="5029200" cy="3342492"/>
            <wp:docPr id="19" name="Picture 19"/>
            <wp:cNvGraphicFramePr>
              <a:graphicFrameLocks noChangeAspect="1"/>
            </wp:cNvGraphicFramePr>
            <a:graphic>
              <a:graphicData uri="http://schemas.openxmlformats.org/drawingml/2006/picture">
                <pic:pic>
                  <pic:nvPicPr>
                    <pic:cNvPr id="0" name="fig_rag_detalle.png"/>
                    <pic:cNvPicPr/>
                  </pic:nvPicPr>
                  <pic:blipFill>
                    <a:blip r:embed="rId26"/>
                    <a:stretch>
                      <a:fillRect/>
                    </a:stretch>
                  </pic:blipFill>
                  <pic:spPr>
                    <a:xfrm>
                      <a:off x="0" y="0"/>
                      <a:ext cx="5029200" cy="3342492"/>
                    </a:xfrm>
                    <a:prstGeom prst="rect"/>
                  </pic:spPr>
                </pic:pic>
              </a:graphicData>
            </a:graphic>
          </wp:inline>
        </w:drawing>
      </w:r>
    </w:p>
    <w:p/>
    <w:p w14:paraId="47F88A4C" w14:textId="5130E5B3" w:rsidR="00891CB2" w:rsidRDefault="00891CB2" w:rsidP="00891CB2">
      <w:pPr>
        <w:spacing w:line="360" w:lineRule="auto"/>
        <w:ind w:firstLine="709"/>
        <w:jc w:val="center"/>
        <w:rPr>
          <w:sz w:val="28"/>
          <w:szCs w:val="28"/>
        </w:rPr>
      </w:pPr>
      <w:r>
        <w:t>Рисунок 3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Qwen2.5,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1"/>
      </w:pPr>
      <w:r>
        <w:t>ГЛАВА 3. РЕАЛИЗАЦИЯ СИСТЕМЫ</w:t>
      </w:r>
    </w:p>
    <w:p>
      <w:pPr/>
      <w:r>
        <w:t>Третья глава описывает практическую реализацию серверной, поисковой, голосовой и интерфейсной подсистем с фокусом на воспроизводимость и технологическую согласованность.</w:t>
      </w:r>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Qwen2.5 (версия 7B-Instruct, квантизация Q4_K_M),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pPr>
        <w:spacing w:line="360" w:lineRule="auto"/>
        <w:ind w:firstLine="709"/>
      </w:pPr>
      <w:r>
        <w:rPr>
          <w:sz w:val="28"/>
        </w:rPr>
        <w:t>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t>Реализация голосового режима включает два основных процесса: (1) распознавание речи пользователя в текст (STT) на базе библиотеки SpeechRecognition с использованием сервиса Google Speech Recognition в текущем контуре развертывания, и (2) синтез речи для озвучивания сформированных ответов (TTS) с использованием двухуровневой схемы Web Speech API + серверный fallback на gTTS.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4):</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r>
        <w:drawing>
          <wp:inline xmlns:a="http://schemas.openxmlformats.org/drawingml/2006/main" xmlns:pic="http://schemas.openxmlformats.org/drawingml/2006/picture">
            <wp:extent cx="5303520" cy="3362024"/>
            <wp:docPr id="26" name="Picture 26"/>
            <wp:cNvGraphicFramePr>
              <a:graphicFrameLocks noChangeAspect="1"/>
            </wp:cNvGraphicFramePr>
            <a:graphic>
              <a:graphicData uri="http://schemas.openxmlformats.org/drawingml/2006/picture">
                <pic:pic>
                  <pic:nvPicPr>
                    <pic:cNvPr id="0" name="fig_voz.png"/>
                    <pic:cNvPicPr/>
                  </pic:nvPicPr>
                  <pic:blipFill>
                    <a:blip r:embed="rId33"/>
                    <a:stretch>
                      <a:fillRect/>
                    </a:stretch>
                  </pic:blipFill>
                  <pic:spPr>
                    <a:xfrm>
                      <a:off x="0" y="0"/>
                      <a:ext cx="5303520" cy="3362024"/>
                    </a:xfrm>
                    <a:prstGeom prst="rect"/>
                  </pic:spPr>
                </pic:pic>
              </a:graphicData>
            </a:graphic>
          </wp:inline>
        </w:drawing>
      </w:r>
    </w:p>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Рисунок 4 – 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pPr/>
      <w:r>
        <w:t>Представленные компоненты реализации образуют технологическую основу прототипа. Далее в отдельной главе приводится формальная валидация качества поиска, устойчивости и достоверности ответов на основе количественных метрик и экспериментальных сценариев.</w:t>
      </w:r>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sz w:val="24"/>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1"/>
      </w:pPr>
      <w:r>
        <w:t>ГЛАВА 4. ОЦЕНКА И ВАЛИДАЦИЯ</w:t>
      </w:r>
    </w:p>
    <w:p>
      <w:pPr/>
      <w:r>
        <w:t>В четвёртой главе приводится методика эксперимента, количественная оценка качества поиска и анализ ограничений с опорой на репрезентативный мультиязычный бенчмарк.</w:t>
      </w:r>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pStyle w:val="Ttulo3"/>
      </w:pPr>
      <w:r>
        <w:t>Методика эксперимента и построение тестового набора</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5.</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t>Рисунок 5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6.</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t>Рисунок 6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pStyle w:val="Ttulo3"/>
      </w:pPr>
      <w:r>
        <w:t>Анализ ошибок и ограничений качества поиска</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pStyle w:val="Ttulo3"/>
      </w:pPr>
      <w:r>
        <w:t>Валидация модуля достоверности и политики воздержания</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pStyle w:val="Ttulo3"/>
      </w:pPr>
      <w:r>
        <w:t>Результаты функционального и модульного тестирования</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pPr>
        <w:pStyle w:val="Ttulo1"/>
      </w:pPr>
      <w:r>
        <w:t>ГЛАВА 5. ЭКСПЛУАТАЦИЯ, НАДЁЖНОСТЬ И ЭВОЛЮЦИЯ БАЗЫ ЗНАНИЙ</w:t>
      </w:r>
    </w:p>
    <w:p>
      <w:pPr/>
      <w:r>
        <w:t>Пятая глава фокусируется на операционной устойчивости системы: инкрементальном обновлении базы знаний, конкурентном доступе, управлении версиями и эксплуатационной валидации.</w:t>
      </w:r>
    </w:p>
    <w:p>
      <w:pPr>
        <w:pStyle w:val="Ttulo3"/>
      </w:pPr>
      <w:r>
        <w:t>Инкрементальное обновление базы знаний и управление версиями источников</w:t>
      </w:r>
    </w:p>
    <w:p>
      <w:pPr/>
      <w:r>
        <w:t>Операционный контур системы построен на инкрементальном обновлении базы знаний: для каждого источника вычисляется fingerprint, формируется version_id, а затем выполняется точечное обновление только изменившихся секций. Такой подход уменьшает вычислительную нагрузку и снижает риск нарушения консистентности индекса.</w:t>
      </w:r>
    </w:p>
    <w:p>
      <w:pPr/>
      <w:r>
        <w:t>В процессе обновления поддерживается политика исключения неактивного и устаревшего контента (inactive/stale), а также сохраняется история версий для трассируемости и возможности rollback. В результате RAG-модуль работает с актуальным и проверяемым набором данных.</w:t>
      </w:r>
    </w:p>
    <w:p>
      <w:pPr>
        <w:jc w:val="center"/>
      </w:pPr>
      <w:r>
        <w:drawing>
          <wp:inline xmlns:a="http://schemas.openxmlformats.org/drawingml/2006/main" xmlns:pic="http://schemas.openxmlformats.org/drawingml/2006/picture">
            <wp:extent cx="5486400" cy="3737987"/>
            <wp:docPr id="25" name="Picture 25"/>
            <wp:cNvGraphicFramePr>
              <a:graphicFrameLocks noChangeAspect="1"/>
            </wp:cNvGraphicFramePr>
            <a:graphic>
              <a:graphicData uri="http://schemas.openxmlformats.org/drawingml/2006/picture">
                <pic:pic>
                  <pic:nvPicPr>
                    <pic:cNvPr id="0" name="fig_kb_refresh_cycle.png"/>
                    <pic:cNvPicPr/>
                  </pic:nvPicPr>
                  <pic:blipFill>
                    <a:blip r:embed="rId32"/>
                    <a:stretch>
                      <a:fillRect/>
                    </a:stretch>
                  </pic:blipFill>
                  <pic:spPr>
                    <a:xfrm>
                      <a:off x="0" y="0"/>
                      <a:ext cx="5486400" cy="3737987"/>
                    </a:xfrm>
                    <a:prstGeom prst="rect"/>
                  </pic:spPr>
                </pic:pic>
              </a:graphicData>
            </a:graphic>
          </wp:inline>
        </w:drawing>
      </w:r>
    </w:p>
    <w:p>
      <w:pPr>
        <w:jc w:val="center"/>
      </w:pPr>
      <w:r>
        <w:t>Рисунок 7 – Инкрементальное обновление базы знаний: событийный и плановый контуры</w:t>
      </w:r>
    </w:p>
    <w:p>
      <w:pPr>
        <w:pStyle w:val="Ttulo3"/>
      </w:pPr>
      <w:r>
        <w:t>Конкурентный доступ и устойчивость в многопроцессной среде</w:t>
      </w:r>
    </w:p>
    <w:p>
      <w:pPr/>
      <w:r>
        <w:t>Для предотвращения гонок при обновлении источников используется механизм блокировок (state lock) и лидерный контур запуска scheduler-задач. В многоинстансных конфигурациях может применяться distributed lock, что исключает параллельное выполнение критических операций несколькими worker-процессами.</w:t>
      </w:r>
    </w:p>
    <w:p>
      <w:pPr>
        <w:pStyle w:val="Ttulo3"/>
      </w:pPr>
      <w:r>
        <w:t>Практическая валидация контуров обновления и эксплуатационные метрики</w:t>
      </w:r>
    </w:p>
    <w:p>
      <w:pPr/>
      <w:r>
        <w:t>Эксплуатационная валидация выполняется сочетанием автоматических тестов и ручных сценариев refresh-пайплайна: проверяются корректность детекции изменений, стабильность переиндексации, соблюдение политики воздержания и целостность ссылок на источники. Эти процедуры позволяют использовать систему в режиме контролируемой эволюции без деградации качества ответов.</w:t>
      </w: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t>Ограничения исследования. 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Qwen2.5 (7B-Instruct, Q4_K_M),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