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120" w:lineRule="exact"/>
      </w:pPr>
    </w:p>
    <w:p>
      <w:pPr>
        <w:spacing w:before="0" w:after="0" w:line="120" w:lineRule="exact"/>
      </w:pPr>
    </w:p>
    <w:p>
      <w:pPr>
        <w:spacing w:before="0" w:after="80"/>
        <w:jc w:val="center"/>
      </w:pPr>
      <w:r>
        <w:rPr>
          <w:rFonts w:ascii="Times New Roman" w:hAnsi="Times New Roman"/>
          <w:b/>
          <w:i w:val="0"/>
          <w:color w:val="2563EB"/>
          <w:sz w:val="26"/>
        </w:rPr>
        <w:t>CHAPTER 5</w:t>
      </w:r>
    </w:p>
    <w:p>
      <w:pPr>
        <w:spacing w:before="80" w:after="400"/>
        <w:jc w:val="center"/>
      </w:pPr>
      <w:r>
        <w:rPr>
          <w:rFonts w:ascii="Times New Roman" w:hAnsi="Times New Roman"/>
          <w:b/>
          <w:i w:val="0"/>
          <w:sz w:val="40"/>
        </w:rPr>
        <w:t>Usability Evaluation of the Energy Digital Twin</w:t>
        <w:br/>
        <w:t>for Smart Building Management</w:t>
      </w:r>
    </w:p>
    <w:p>
      <w:pPr>
        <w:spacing w:before="0" w:after="480"/>
        <w:jc w:val="center"/>
      </w:pPr>
      <w:r>
        <w:rPr>
          <w:rFonts w:ascii="Times New Roman" w:hAnsi="Times New Roman"/>
          <w:b w:val="0"/>
          <w:i w:val="0"/>
          <w:color w:val="94A3B8"/>
          <w:sz w:val="20"/>
        </w:rPr>
        <w:t>────────────────────────────────────────────────────────────</w:t>
      </w:r>
    </w:p>
    <w:p>
      <w:pPr>
        <w:spacing w:before="0" w:after="0" w:line="120" w:lineRule="exact"/>
      </w:pPr>
    </w:p>
    <w:p>
      <w:pPr>
        <w:spacing w:before="480" w:after="240"/>
      </w:pPr>
      <w:r>
        <w:rPr>
          <w:rFonts w:ascii="Times New Roman" w:hAnsi="Times New Roman"/>
          <w:b/>
          <w:i w:val="0"/>
          <w:sz w:val="32"/>
        </w:rPr>
        <w:t>5.1  Introduction</w:t>
      </w:r>
    </w:p>
    <w:p>
      <w:pPr>
        <w:spacing w:before="0" w:after="120" w:line="440" w:lineRule="exact"/>
        <w:ind w:firstLine="709"/>
        <w:jc w:val="both"/>
      </w:pPr>
      <w:r>
        <w:rPr>
          <w:rFonts w:ascii="Times New Roman" w:hAnsi="Times New Roman"/>
          <w:b w:val="0"/>
          <w:i w:val="0"/>
          <w:sz w:val="24"/>
        </w:rPr>
        <w:t>The development of the Energy Digital Twin (EDT) for the GATE Institute building represented a significant step toward intelligent, data-driven building management. However, a technological artefact — however sophisticated — derives its practical value only insofar as its intended users can interact with it effectively and derive actionable insight from it. Accordingly, this chapter presents the design, rationale, and execution of a structured usability evaluation conducted to assess whether the EDT platform meets the information needs of a diverse range of building stakeholders.</w:t>
      </w:r>
    </w:p>
    <w:p>
      <w:pPr>
        <w:spacing w:before="0" w:after="120" w:line="440" w:lineRule="exact"/>
        <w:ind w:firstLine="709"/>
        <w:jc w:val="both"/>
      </w:pPr>
      <w:r>
        <w:rPr>
          <w:rFonts w:ascii="Times New Roman" w:hAnsi="Times New Roman"/>
          <w:b w:val="0"/>
          <w:i w:val="0"/>
          <w:sz w:val="24"/>
        </w:rPr>
        <w:t>The evaluation was conducted by the researcher, Joan Waithira Njoroge, as part of the Master of Science in Spatial Engineering programme at the University of Twente. The study combined quantitative feature-level ratings with qualitative task observations and open-ended feedback, producing a multidimensional picture of user experience. An AI-assisted summarisation layer was incorporated into the survey instrument to provide immediate, participant-specific recaps that could support iterative reflection during data collection.</w:t>
      </w:r>
    </w:p>
    <w:p>
      <w:pPr>
        <w:spacing w:before="0" w:after="120" w:line="440" w:lineRule="exact"/>
        <w:ind w:firstLine="709"/>
        <w:jc w:val="both"/>
      </w:pPr>
      <w:r>
        <w:rPr>
          <w:rFonts w:ascii="Times New Roman" w:hAnsi="Times New Roman"/>
          <w:b w:val="0"/>
          <w:i w:val="0"/>
          <w:sz w:val="24"/>
        </w:rPr>
        <w:t>The remainder of this chapter is organised as follows. Section 5.2 situates the evaluation within the broader research objectives. Section 5.3 describes the study design and methodological choices. Section 5.4 details the survey instrument and its constituent stages. Section 5.5 characterises the participant sample. Section 5.6 presents the procedural protocol. Section 5.7 describes the feature evaluation framework. Section 5.8 outlines the data collection and storage infrastructure. Section 5.9 addresses ethical considerations, and Section 5.10 summarises the chapter.</w:t>
      </w:r>
    </w:p>
    <w:p>
      <w:pPr>
        <w:spacing w:before="480" w:after="240"/>
      </w:pPr>
      <w:r>
        <w:rPr>
          <w:rFonts w:ascii="Times New Roman" w:hAnsi="Times New Roman"/>
          <w:b/>
          <w:i w:val="0"/>
          <w:sz w:val="32"/>
        </w:rPr>
        <w:t>5.2  Research Objectives and Evaluation Goals</w:t>
      </w:r>
    </w:p>
    <w:p>
      <w:pPr>
        <w:spacing w:before="0" w:after="120" w:line="440" w:lineRule="exact"/>
        <w:ind w:firstLine="709"/>
        <w:jc w:val="both"/>
      </w:pPr>
      <w:r>
        <w:rPr>
          <w:rFonts w:ascii="Times New Roman" w:hAnsi="Times New Roman"/>
          <w:b w:val="0"/>
          <w:i w:val="0"/>
          <w:sz w:val="24"/>
        </w:rPr>
        <w:t>The overarching research question guiding this phase of the study is: To what extent does the Energy Digital Twin platform support the information needs of diverse building stakeholders in understanding, monitoring, and acting upon building energy performance data? This question was operationalised into four specific evaluation objectives:</w:t>
      </w:r>
    </w:p>
    <w:p>
      <w:pPr>
        <w:pStyle w:val="ListNumber"/>
        <w:spacing w:before="40" w:after="40" w:line="360" w:lineRule="exact"/>
      </w:pPr>
      <w:r>
        <w:rPr>
          <w:rFonts w:ascii="Times New Roman" w:hAnsi="Times New Roman"/>
          <w:b w:val="0"/>
          <w:i w:val="0"/>
          <w:sz w:val="24"/>
        </w:rPr>
        <w:t>Assess the navigability and intuitiveness of the 3D building interface across stakeholder groups with varying levels of technical expertise.</w:t>
      </w:r>
    </w:p>
    <w:p>
      <w:pPr>
        <w:pStyle w:val="ListNumber"/>
        <w:spacing w:before="40" w:after="40" w:line="360" w:lineRule="exact"/>
      </w:pPr>
      <w:r>
        <w:rPr>
          <w:rFonts w:ascii="Times New Roman" w:hAnsi="Times New Roman"/>
          <w:b w:val="0"/>
          <w:i w:val="0"/>
          <w:sz w:val="24"/>
        </w:rPr>
        <w:t>Evaluate the clarity and communicative effectiveness of the platform's eight core feature modules — namely the 3D Building Viewer, Energy Monitoring, Solar &amp; Battery, Room Air Quality (IAQ), Fault Detection, Scenarios, Forecast, and Role-Specific Dashboard.</w:t>
      </w:r>
    </w:p>
    <w:p>
      <w:pPr>
        <w:pStyle w:val="ListNumber"/>
        <w:spacing w:before="40" w:after="40" w:line="360" w:lineRule="exact"/>
      </w:pPr>
      <w:r>
        <w:rPr>
          <w:rFonts w:ascii="Times New Roman" w:hAnsi="Times New Roman"/>
          <w:b w:val="0"/>
          <w:i w:val="0"/>
          <w:sz w:val="24"/>
        </w:rPr>
        <w:t>Determine the perceived utility of AI-assisted decision support, specifically the conversational assistant embedded within the platform, in helping stakeholders interpret data and identify recommended actions.</w:t>
      </w:r>
    </w:p>
    <w:p>
      <w:pPr>
        <w:pStyle w:val="ListNumber"/>
        <w:spacing w:before="40" w:after="40" w:line="360" w:lineRule="exact"/>
      </w:pPr>
      <w:r>
        <w:rPr>
          <w:rFonts w:ascii="Times New Roman" w:hAnsi="Times New Roman"/>
          <w:b w:val="0"/>
          <w:i w:val="0"/>
          <w:sz w:val="24"/>
        </w:rPr>
        <w:t>Identify the features most and least valued by participants, and collect qualitative evidence of usability barriers that may inform future development iterations.</w:t>
      </w:r>
    </w:p>
    <w:p>
      <w:pPr>
        <w:spacing w:before="0" w:after="120" w:line="440" w:lineRule="exact"/>
        <w:ind w:firstLine="709"/>
        <w:jc w:val="both"/>
      </w:pPr>
      <w:r>
        <w:rPr>
          <w:rFonts w:ascii="Times New Roman" w:hAnsi="Times New Roman"/>
          <w:b w:val="0"/>
          <w:i w:val="0"/>
          <w:sz w:val="24"/>
        </w:rPr>
        <w:t>These objectives were designed to generate both summative evidence — suitable for validating the current design — and formative evidence that can guide iterative refinement of the platform prior to operational deployment.</w:t>
      </w:r>
    </w:p>
    <w:p>
      <w:pPr>
        <w:spacing w:before="480" w:after="240"/>
      </w:pPr>
      <w:r>
        <w:rPr>
          <w:rFonts w:ascii="Times New Roman" w:hAnsi="Times New Roman"/>
          <w:b/>
          <w:i w:val="0"/>
          <w:sz w:val="32"/>
        </w:rPr>
        <w:t>5.3  Study Design</w:t>
      </w:r>
    </w:p>
    <w:p>
      <w:pPr>
        <w:spacing w:before="360" w:after="160"/>
      </w:pPr>
      <w:r>
        <w:rPr>
          <w:rFonts w:ascii="Times New Roman" w:hAnsi="Times New Roman"/>
          <w:b/>
          <w:i w:val="0"/>
          <w:sz w:val="28"/>
        </w:rPr>
        <w:t>5.3.1  Research Approach</w:t>
      </w:r>
    </w:p>
    <w:p>
      <w:pPr>
        <w:spacing w:before="0" w:after="120" w:line="440" w:lineRule="exact"/>
        <w:ind w:firstLine="709"/>
        <w:jc w:val="both"/>
      </w:pPr>
      <w:r>
        <w:rPr>
          <w:rFonts w:ascii="Times New Roman" w:hAnsi="Times New Roman"/>
          <w:b w:val="0"/>
          <w:i w:val="0"/>
          <w:sz w:val="24"/>
        </w:rPr>
        <w:t>A mixed-methods, task-based usability study was employed. This design combines structured task scenarios — in which participants are asked to complete representative activities within the platform — with Likert-scale feature ratings, forced-choice questions, and free-text open responses. This combination is consistent with established practice in user experience research (Nielsen, 1994; Rubin &amp; Chisnell, 2008) and aligns with the ISO 9241-11:2018 definition of usability as the degree to which a product can be used by specified users to achieve specified goals with effectiveness, efficiency, and satisfaction.</w:t>
      </w:r>
    </w:p>
    <w:p>
      <w:pPr>
        <w:spacing w:before="0" w:after="120" w:line="440" w:lineRule="exact"/>
        <w:ind w:firstLine="709"/>
        <w:jc w:val="both"/>
      </w:pPr>
      <w:r>
        <w:rPr>
          <w:rFonts w:ascii="Times New Roman" w:hAnsi="Times New Roman"/>
          <w:b w:val="0"/>
          <w:i w:val="0"/>
          <w:sz w:val="24"/>
        </w:rPr>
        <w:t>A key design decision was to deliver the evaluation in an unmoderated, remote format. Participants accessed the survey instrument and the live EDT platform independently, without a researcher present. This choice was motivated by two considerations. First, it enabled participation by stakeholders distributed across organisational and geographic contexts, including facilities managers, sustainability officers, and external visitors who could not conveniently be co-located with the researcher. Second, an unmoderated setting reduces social desirability bias — participants are less likely to moderate their responses based on perceived researcher expectations when completing the survey privately.</w:t>
      </w:r>
    </w:p>
    <w:p>
      <w:pPr>
        <w:spacing w:before="360" w:after="160"/>
      </w:pPr>
      <w:r>
        <w:rPr>
          <w:rFonts w:ascii="Times New Roman" w:hAnsi="Times New Roman"/>
          <w:b/>
          <w:i w:val="0"/>
          <w:sz w:val="28"/>
        </w:rPr>
        <w:t>5.3.2  Relationship to the Broader Research Design</w:t>
      </w:r>
    </w:p>
    <w:p>
      <w:pPr>
        <w:spacing w:before="0" w:after="120" w:line="440" w:lineRule="exact"/>
        <w:ind w:firstLine="709"/>
        <w:jc w:val="both"/>
      </w:pPr>
      <w:r>
        <w:rPr>
          <w:rFonts w:ascii="Times New Roman" w:hAnsi="Times New Roman"/>
          <w:b w:val="0"/>
          <w:i w:val="0"/>
          <w:sz w:val="24"/>
        </w:rPr>
        <w:t>This usability evaluation constitutes the validation phase of the research and sits downstream of the design and implementation phases described in earlier chapters. The evaluation is not intended to produce generalisable findings about digital twins in general; rather, it serves to validate a specific artefact — the GATE Institute EDT — against the functional and communicative requirements identified during the design phase. The sample size and participant selection were therefore guided by purposive criteria (representation of the platform's intended stakeholder groups) rather than probabilistic criteria.</w:t>
      </w:r>
    </w:p>
    <w:p>
      <w:pPr>
        <w:spacing w:before="480" w:after="240"/>
      </w:pPr>
      <w:r>
        <w:rPr>
          <w:rFonts w:ascii="Times New Roman" w:hAnsi="Times New Roman"/>
          <w:b/>
          <w:i w:val="0"/>
          <w:sz w:val="32"/>
        </w:rPr>
        <w:t>5.4  The Survey Instrument</w:t>
      </w:r>
    </w:p>
    <w:p>
      <w:pPr>
        <w:spacing w:before="0" w:after="120" w:line="440" w:lineRule="exact"/>
        <w:ind w:firstLine="709"/>
        <w:jc w:val="both"/>
      </w:pPr>
      <w:r>
        <w:rPr>
          <w:rFonts w:ascii="Times New Roman" w:hAnsi="Times New Roman"/>
          <w:b w:val="0"/>
          <w:i w:val="0"/>
          <w:sz w:val="24"/>
        </w:rPr>
        <w:t>A bespoke, browser-based survey application — RateMyApp — was developed specifically for this evaluation and hosted via Netlify at a publicly accessible URL. The instrument was structured into seven sequential stages, each serving a distinct methodological purpose. Table 5.1 provides an overview of the stages and their primary data collection function.</w:t>
      </w:r>
    </w:p>
    <w:tbl>
      <w:tblPr>
        <w:tblStyle w:val="TableGrid"/>
        <w:tblW w:type="auto" w:w="0"/>
        <w:tblLook w:firstColumn="1" w:firstRow="1" w:lastColumn="0" w:lastRow="0" w:noHBand="0" w:noVBand="1" w:val="04A0"/>
      </w:tblPr>
      <w:tblGrid>
        <w:gridCol w:w="2946"/>
        <w:gridCol w:w="2946"/>
        <w:gridCol w:w="2946"/>
      </w:tblGrid>
      <w:tr>
        <w:tc>
          <w:tcPr>
            <w:tcW w:type="dxa" w:w="850"/>
            <w:shd w:val="clear" w:color="auto" w:fill="2563EB"/>
            <w:vAlign w:val="center"/>
          </w:tcPr>
          <w:p>
            <w:pPr>
              <w:jc w:val="center"/>
            </w:pPr>
            <w:r>
              <w:rPr>
                <w:rFonts w:ascii="Times New Roman" w:hAnsi="Times New Roman"/>
                <w:b/>
                <w:i w:val="0"/>
                <w:color w:val="FFFFFF"/>
                <w:sz w:val="22"/>
              </w:rPr>
              <w:t>Stage</w:t>
            </w:r>
          </w:p>
        </w:tc>
        <w:tc>
          <w:tcPr>
            <w:tcW w:type="dxa" w:w="3118"/>
            <w:shd w:val="clear" w:color="auto" w:fill="2563EB"/>
            <w:vAlign w:val="center"/>
          </w:tcPr>
          <w:p>
            <w:pPr>
              <w:jc w:val="center"/>
            </w:pPr>
            <w:r>
              <w:rPr>
                <w:rFonts w:ascii="Times New Roman" w:hAnsi="Times New Roman"/>
                <w:b/>
                <w:i w:val="0"/>
                <w:color w:val="FFFFFF"/>
                <w:sz w:val="22"/>
              </w:rPr>
              <w:t>Title</w:t>
            </w:r>
          </w:p>
        </w:tc>
        <w:tc>
          <w:tcPr>
            <w:tcW w:type="dxa" w:w="4819"/>
            <w:shd w:val="clear" w:color="auto" w:fill="2563EB"/>
            <w:vAlign w:val="center"/>
          </w:tcPr>
          <w:p>
            <w:pPr>
              <w:jc w:val="center"/>
            </w:pPr>
            <w:r>
              <w:rPr>
                <w:rFonts w:ascii="Times New Roman" w:hAnsi="Times New Roman"/>
                <w:b/>
                <w:i w:val="0"/>
                <w:color w:val="FFFFFF"/>
                <w:sz w:val="22"/>
              </w:rPr>
              <w:t>Primary Function</w:t>
            </w:r>
          </w:p>
        </w:tc>
      </w:tr>
      <w:tr>
        <w:tc>
          <w:tcPr>
            <w:tcW w:type="dxa" w:w="850"/>
            <w:vAlign w:val="center"/>
          </w:tcPr>
          <w:p>
            <w:r>
              <w:rPr>
                <w:rFonts w:ascii="Times New Roman" w:hAnsi="Times New Roman"/>
                <w:b w:val="0"/>
                <w:i w:val="0"/>
                <w:sz w:val="21"/>
              </w:rPr>
              <w:t>1</w:t>
            </w:r>
          </w:p>
        </w:tc>
        <w:tc>
          <w:tcPr>
            <w:tcW w:type="dxa" w:w="3118"/>
            <w:vAlign w:val="center"/>
          </w:tcPr>
          <w:p>
            <w:r>
              <w:rPr>
                <w:rFonts w:ascii="Times New Roman" w:hAnsi="Times New Roman"/>
                <w:b w:val="0"/>
                <w:i w:val="0"/>
                <w:sz w:val="21"/>
              </w:rPr>
              <w:t>Participant Information &amp; Consent</w:t>
            </w:r>
          </w:p>
        </w:tc>
        <w:tc>
          <w:tcPr>
            <w:tcW w:type="dxa" w:w="4819"/>
            <w:vAlign w:val="center"/>
          </w:tcPr>
          <w:p>
            <w:r>
              <w:rPr>
                <w:rFonts w:ascii="Times New Roman" w:hAnsi="Times New Roman"/>
                <w:b w:val="0"/>
                <w:i w:val="0"/>
                <w:sz w:val="21"/>
              </w:rPr>
              <w:t>Ethical disclosure; informed consent capture</w:t>
            </w:r>
          </w:p>
        </w:tc>
      </w:tr>
      <w:tr>
        <w:tc>
          <w:tcPr>
            <w:tcW w:type="dxa" w:w="850"/>
            <w:shd w:val="clear" w:color="auto" w:fill="F0F4FF"/>
            <w:vAlign w:val="center"/>
          </w:tcPr>
          <w:p>
            <w:r>
              <w:rPr>
                <w:rFonts w:ascii="Times New Roman" w:hAnsi="Times New Roman"/>
                <w:b w:val="0"/>
                <w:i w:val="0"/>
                <w:sz w:val="21"/>
              </w:rPr>
              <w:t>2</w:t>
            </w:r>
          </w:p>
        </w:tc>
        <w:tc>
          <w:tcPr>
            <w:tcW w:type="dxa" w:w="3118"/>
            <w:shd w:val="clear" w:color="auto" w:fill="F0F4FF"/>
            <w:vAlign w:val="center"/>
          </w:tcPr>
          <w:p>
            <w:r>
              <w:rPr>
                <w:rFonts w:ascii="Times New Roman" w:hAnsi="Times New Roman"/>
                <w:b w:val="0"/>
                <w:i w:val="0"/>
                <w:sz w:val="21"/>
              </w:rPr>
              <w:t>Role &amp; Affiliation Selection</w:t>
            </w:r>
          </w:p>
        </w:tc>
        <w:tc>
          <w:tcPr>
            <w:tcW w:type="dxa" w:w="4819"/>
            <w:shd w:val="clear" w:color="auto" w:fill="F0F4FF"/>
            <w:vAlign w:val="center"/>
          </w:tcPr>
          <w:p>
            <w:r>
              <w:rPr>
                <w:rFonts w:ascii="Times New Roman" w:hAnsi="Times New Roman"/>
                <w:b w:val="0"/>
                <w:i w:val="0"/>
                <w:sz w:val="21"/>
              </w:rPr>
              <w:t>Participant stratification by stakeholder type and organisation</w:t>
            </w:r>
          </w:p>
        </w:tc>
      </w:tr>
      <w:tr>
        <w:tc>
          <w:tcPr>
            <w:tcW w:type="dxa" w:w="850"/>
            <w:vAlign w:val="center"/>
          </w:tcPr>
          <w:p>
            <w:r>
              <w:rPr>
                <w:rFonts w:ascii="Times New Roman" w:hAnsi="Times New Roman"/>
                <w:b w:val="0"/>
                <w:i w:val="0"/>
                <w:sz w:val="21"/>
              </w:rPr>
              <w:t>3</w:t>
            </w:r>
          </w:p>
        </w:tc>
        <w:tc>
          <w:tcPr>
            <w:tcW w:type="dxa" w:w="3118"/>
            <w:vAlign w:val="center"/>
          </w:tcPr>
          <w:p>
            <w:r>
              <w:rPr>
                <w:rFonts w:ascii="Times New Roman" w:hAnsi="Times New Roman"/>
                <w:b w:val="0"/>
                <w:i w:val="0"/>
                <w:sz w:val="21"/>
              </w:rPr>
              <w:t>Guided Platform Tour</w:t>
            </w:r>
          </w:p>
        </w:tc>
        <w:tc>
          <w:tcPr>
            <w:tcW w:type="dxa" w:w="4819"/>
            <w:vAlign w:val="center"/>
          </w:tcPr>
          <w:p>
            <w:r>
              <w:rPr>
                <w:rFonts w:ascii="Times New Roman" w:hAnsi="Times New Roman"/>
                <w:b w:val="0"/>
                <w:i w:val="0"/>
                <w:sz w:val="21"/>
              </w:rPr>
              <w:t>Contextual orientation; exposure to all major features before tasks</w:t>
            </w:r>
          </w:p>
        </w:tc>
      </w:tr>
      <w:tr>
        <w:tc>
          <w:tcPr>
            <w:tcW w:type="dxa" w:w="850"/>
            <w:shd w:val="clear" w:color="auto" w:fill="F0F4FF"/>
            <w:vAlign w:val="center"/>
          </w:tcPr>
          <w:p>
            <w:r>
              <w:rPr>
                <w:rFonts w:ascii="Times New Roman" w:hAnsi="Times New Roman"/>
                <w:b w:val="0"/>
                <w:i w:val="0"/>
                <w:sz w:val="21"/>
              </w:rPr>
              <w:t>4</w:t>
            </w:r>
          </w:p>
        </w:tc>
        <w:tc>
          <w:tcPr>
            <w:tcW w:type="dxa" w:w="3118"/>
            <w:shd w:val="clear" w:color="auto" w:fill="F0F4FF"/>
            <w:vAlign w:val="center"/>
          </w:tcPr>
          <w:p>
            <w:r>
              <w:rPr>
                <w:rFonts w:ascii="Times New Roman" w:hAnsi="Times New Roman"/>
                <w:b w:val="0"/>
                <w:i w:val="0"/>
                <w:sz w:val="21"/>
              </w:rPr>
              <w:t>Task-Based Testing</w:t>
            </w:r>
          </w:p>
        </w:tc>
        <w:tc>
          <w:tcPr>
            <w:tcW w:type="dxa" w:w="4819"/>
            <w:shd w:val="clear" w:color="auto" w:fill="F0F4FF"/>
            <w:vAlign w:val="center"/>
          </w:tcPr>
          <w:p>
            <w:r>
              <w:rPr>
                <w:rFonts w:ascii="Times New Roman" w:hAnsi="Times New Roman"/>
                <w:b w:val="0"/>
                <w:i w:val="0"/>
                <w:sz w:val="21"/>
              </w:rPr>
              <w:t>Behavioural evidence of navigability across three guided tasks</w:t>
            </w:r>
          </w:p>
        </w:tc>
      </w:tr>
      <w:tr>
        <w:tc>
          <w:tcPr>
            <w:tcW w:type="dxa" w:w="850"/>
            <w:vAlign w:val="center"/>
          </w:tcPr>
          <w:p>
            <w:r>
              <w:rPr>
                <w:rFonts w:ascii="Times New Roman" w:hAnsi="Times New Roman"/>
                <w:b w:val="0"/>
                <w:i w:val="0"/>
                <w:sz w:val="21"/>
              </w:rPr>
              <w:t>5</w:t>
            </w:r>
          </w:p>
        </w:tc>
        <w:tc>
          <w:tcPr>
            <w:tcW w:type="dxa" w:w="3118"/>
            <w:vAlign w:val="center"/>
          </w:tcPr>
          <w:p>
            <w:r>
              <w:rPr>
                <w:rFonts w:ascii="Times New Roman" w:hAnsi="Times New Roman"/>
                <w:b w:val="0"/>
                <w:i w:val="0"/>
                <w:sz w:val="21"/>
              </w:rPr>
              <w:t>Feature Ratings</w:t>
            </w:r>
          </w:p>
        </w:tc>
        <w:tc>
          <w:tcPr>
            <w:tcW w:type="dxa" w:w="4819"/>
            <w:vAlign w:val="center"/>
          </w:tcPr>
          <w:p>
            <w:r>
              <w:rPr>
                <w:rFonts w:ascii="Times New Roman" w:hAnsi="Times New Roman"/>
                <w:b w:val="0"/>
                <w:i w:val="0"/>
                <w:sz w:val="21"/>
              </w:rPr>
              <w:t>Quantitative usefulness ratings (1–5 Likert) per feature module</w:t>
            </w:r>
          </w:p>
        </w:tc>
      </w:tr>
      <w:tr>
        <w:tc>
          <w:tcPr>
            <w:tcW w:type="dxa" w:w="850"/>
            <w:shd w:val="clear" w:color="auto" w:fill="F0F4FF"/>
            <w:vAlign w:val="center"/>
          </w:tcPr>
          <w:p>
            <w:r>
              <w:rPr>
                <w:rFonts w:ascii="Times New Roman" w:hAnsi="Times New Roman"/>
                <w:b w:val="0"/>
                <w:i w:val="0"/>
                <w:sz w:val="21"/>
              </w:rPr>
              <w:t>6</w:t>
            </w:r>
          </w:p>
        </w:tc>
        <w:tc>
          <w:tcPr>
            <w:tcW w:type="dxa" w:w="3118"/>
            <w:shd w:val="clear" w:color="auto" w:fill="F0F4FF"/>
            <w:vAlign w:val="center"/>
          </w:tcPr>
          <w:p>
            <w:r>
              <w:rPr>
                <w:rFonts w:ascii="Times New Roman" w:hAnsi="Times New Roman"/>
                <w:b w:val="0"/>
                <w:i w:val="0"/>
                <w:sz w:val="21"/>
              </w:rPr>
              <w:t>Open Feedback</w:t>
            </w:r>
          </w:p>
        </w:tc>
        <w:tc>
          <w:tcPr>
            <w:tcW w:type="dxa" w:w="4819"/>
            <w:shd w:val="clear" w:color="auto" w:fill="F0F4FF"/>
            <w:vAlign w:val="center"/>
          </w:tcPr>
          <w:p>
            <w:r>
              <w:rPr>
                <w:rFonts w:ascii="Times New Roman" w:hAnsi="Times New Roman"/>
                <w:b w:val="0"/>
                <w:i w:val="0"/>
                <w:sz w:val="21"/>
              </w:rPr>
              <w:t>Qualitative evidence: impressions, barriers, adoption intent</w:t>
            </w:r>
          </w:p>
        </w:tc>
      </w:tr>
      <w:tr>
        <w:tc>
          <w:tcPr>
            <w:tcW w:type="dxa" w:w="850"/>
            <w:vAlign w:val="center"/>
          </w:tcPr>
          <w:p>
            <w:r>
              <w:rPr>
                <w:rFonts w:ascii="Times New Roman" w:hAnsi="Times New Roman"/>
                <w:b w:val="0"/>
                <w:i w:val="0"/>
                <w:sz w:val="21"/>
              </w:rPr>
              <w:t>7</w:t>
            </w:r>
          </w:p>
        </w:tc>
        <w:tc>
          <w:tcPr>
            <w:tcW w:type="dxa" w:w="3118"/>
            <w:vAlign w:val="center"/>
          </w:tcPr>
          <w:p>
            <w:r>
              <w:rPr>
                <w:rFonts w:ascii="Times New Roman" w:hAnsi="Times New Roman"/>
                <w:b w:val="0"/>
                <w:i w:val="0"/>
                <w:sz w:val="21"/>
              </w:rPr>
              <w:t>Thank You &amp; AI Summary</w:t>
            </w:r>
          </w:p>
        </w:tc>
        <w:tc>
          <w:tcPr>
            <w:tcW w:type="dxa" w:w="4819"/>
            <w:vAlign w:val="center"/>
          </w:tcPr>
          <w:p>
            <w:r>
              <w:rPr>
                <w:rFonts w:ascii="Times New Roman" w:hAnsi="Times New Roman"/>
                <w:b w:val="0"/>
                <w:i w:val="0"/>
                <w:sz w:val="21"/>
              </w:rPr>
              <w:t>Participant-facing recap; AI summary saved to research database</w:t>
            </w:r>
          </w:p>
        </w:tc>
      </w:tr>
    </w:tbl>
    <w:p/>
    <w:p>
      <w:pPr>
        <w:spacing w:before="40" w:after="200" w:line="320" w:lineRule="exact"/>
        <w:jc w:val="center"/>
      </w:pPr>
      <w:r>
        <w:rPr>
          <w:rFonts w:ascii="Times New Roman" w:hAnsi="Times New Roman"/>
          <w:b w:val="0"/>
          <w:i/>
          <w:sz w:val="20"/>
        </w:rPr>
        <w:t>Table 5.1. Structure of the RateMyApp survey instrument.</w:t>
      </w:r>
    </w:p>
    <w:p>
      <w:pPr>
        <w:spacing w:before="360" w:after="160"/>
      </w:pPr>
      <w:r>
        <w:rPr>
          <w:rFonts w:ascii="Times New Roman" w:hAnsi="Times New Roman"/>
          <w:b/>
          <w:i w:val="0"/>
          <w:sz w:val="28"/>
        </w:rPr>
        <w:t>5.4.1  Stage 1: Participant Information and Informed Consent</w:t>
      </w:r>
    </w:p>
    <w:p>
      <w:pPr>
        <w:spacing w:before="0" w:after="120" w:line="440" w:lineRule="exact"/>
        <w:ind w:firstLine="709"/>
        <w:jc w:val="both"/>
      </w:pPr>
      <w:r>
        <w:rPr>
          <w:rFonts w:ascii="Times New Roman" w:hAnsi="Times New Roman"/>
          <w:b w:val="0"/>
          <w:i w:val="0"/>
          <w:sz w:val="24"/>
        </w:rPr>
        <w:t>The first stage presented participants with a structured participant information sheet. In compliance with the ethical guidelines of the University of Twente and the principles of the Declaration of Helsinki, the information sheet detailed the purpose of the study, the nature of participation, the anonymisation of data, the voluntary nature of participation, and participants' right to withdraw at any stage without consequence. Consent was captured via an explicit checkbox, and only participants who actively confirmed their agreement could proceed to subsequent stages. No data beyond the consent confirmation itself was recorded prior to the checkbox being checked.</w:t>
      </w:r>
    </w:p>
    <w:p>
      <w:pPr>
        <w:spacing w:before="360" w:after="160"/>
      </w:pPr>
      <w:r>
        <w:rPr>
          <w:rFonts w:ascii="Times New Roman" w:hAnsi="Times New Roman"/>
          <w:b/>
          <w:i w:val="0"/>
          <w:sz w:val="28"/>
        </w:rPr>
        <w:t>5.4.2  Stage 2: Role and Affiliation Selection</w:t>
      </w:r>
    </w:p>
    <w:p>
      <w:pPr>
        <w:spacing w:before="0" w:after="120" w:line="440" w:lineRule="exact"/>
        <w:ind w:firstLine="709"/>
        <w:jc w:val="both"/>
      </w:pPr>
      <w:r>
        <w:rPr>
          <w:rFonts w:ascii="Times New Roman" w:hAnsi="Times New Roman"/>
          <w:b w:val="0"/>
          <w:i w:val="0"/>
          <w:sz w:val="24"/>
        </w:rPr>
        <w:t>Participants were asked to self-identify their professional role from a predefined list of six stakeholder archetypes identified during the platform's requirements analysis phase. These archetypes were: Building Director or Management, Facilities Manager, Sustainability Officer, IT Staff, Office Worker, and External Visitor or Stakeholder. Role self-identification served two purposes: it enabled stratified analysis of responses by stakeholder group, and it informed the adaptive content in Stage 4, where task framing could be contextualised to the participant's declared role.</w:t>
      </w:r>
    </w:p>
    <w:p>
      <w:pPr>
        <w:spacing w:before="0" w:after="120" w:line="440" w:lineRule="exact"/>
        <w:ind w:firstLine="709"/>
        <w:jc w:val="both"/>
      </w:pPr>
      <w:r>
        <w:rPr>
          <w:rFonts w:ascii="Times New Roman" w:hAnsi="Times New Roman"/>
          <w:b w:val="0"/>
          <w:i w:val="0"/>
          <w:sz w:val="24"/>
        </w:rPr>
        <w:t>Participants additionally indicated their organisational affiliation — University of Twente, GATE Institute, or Other — providing a secondary stratification variable for analysis.</w:t>
      </w:r>
    </w:p>
    <w:p>
      <w:pPr>
        <w:spacing w:before="360" w:after="160"/>
      </w:pPr>
      <w:r>
        <w:rPr>
          <w:rFonts w:ascii="Times New Roman" w:hAnsi="Times New Roman"/>
          <w:b/>
          <w:i w:val="0"/>
          <w:sz w:val="28"/>
        </w:rPr>
        <w:t>5.4.3  Stage 3: Guided Platform Tour</w:t>
      </w:r>
    </w:p>
    <w:p>
      <w:pPr>
        <w:spacing w:before="0" w:after="120" w:line="440" w:lineRule="exact"/>
        <w:ind w:firstLine="709"/>
        <w:jc w:val="both"/>
      </w:pPr>
      <w:r>
        <w:rPr>
          <w:rFonts w:ascii="Times New Roman" w:hAnsi="Times New Roman"/>
          <w:b w:val="0"/>
          <w:i w:val="0"/>
          <w:sz w:val="24"/>
        </w:rPr>
        <w:t>Prior to undertaking the structured tasks, participants were presented with a guided orientation stage. An embedded live preview of the EDT platform was made available via an inline iframe, with a direct link to open the platform in a full browser tab for participants who preferred a larger viewing environment. The guided tour stage encouraged participants to explore the platform for approximately two minutes, with explicit prompts to: (1) scan the main navigation and replay panel; (2) open at least two feature tabs; and (3) identify which view seemed most immediately relevant to their declared role.</w:t>
      </w:r>
    </w:p>
    <w:p>
      <w:pPr>
        <w:spacing w:before="0" w:after="120" w:line="440" w:lineRule="exact"/>
        <w:ind w:firstLine="709"/>
        <w:jc w:val="both"/>
      </w:pPr>
      <w:r>
        <w:rPr>
          <w:rFonts w:ascii="Times New Roman" w:hAnsi="Times New Roman"/>
          <w:b w:val="0"/>
          <w:i w:val="0"/>
          <w:sz w:val="24"/>
        </w:rPr>
        <w:t>The tour stage was methodologically important for two reasons. First, it reduced the cognitive load associated with encountering an unfamiliar interface cold before being asked to perform structured tasks. Second, it provided each participant with comparable baseline exposure to the platform's structure, mitigating the effect of prior familiarity differences on task performance ratings.</w:t>
      </w:r>
    </w:p>
    <w:p>
      <w:pPr>
        <w:spacing w:before="360" w:after="160"/>
      </w:pPr>
      <w:r>
        <w:rPr>
          <w:rFonts w:ascii="Times New Roman" w:hAnsi="Times New Roman"/>
          <w:b/>
          <w:i w:val="0"/>
          <w:sz w:val="28"/>
        </w:rPr>
        <w:t>5.4.4  Stage 4: Task-Based Testing</w:t>
      </w:r>
    </w:p>
    <w:p>
      <w:pPr>
        <w:spacing w:before="0" w:after="120" w:line="440" w:lineRule="exact"/>
        <w:ind w:firstLine="709"/>
        <w:jc w:val="both"/>
      </w:pPr>
      <w:r>
        <w:rPr>
          <w:rFonts w:ascii="Times New Roman" w:hAnsi="Times New Roman"/>
          <w:b w:val="0"/>
          <w:i w:val="0"/>
          <w:sz w:val="24"/>
        </w:rPr>
        <w:t>Stage 4 constituted the primary behavioural component of the evaluation. Participants were guided through three structured tasks that represented core use cases of the EDT platform. Each task was presented with a step-by-step checklist of suggested actions, a follow-up question assessing ease of completion, and an optional open-text field for qualitative notes. Table 5.2 summarises the three tasks and their associated follow-up questions.</w:t>
      </w:r>
    </w:p>
    <w:tbl>
      <w:tblPr>
        <w:tblStyle w:val="TableGrid"/>
        <w:tblW w:type="auto" w:w="0"/>
        <w:tblLook w:firstColumn="1" w:firstRow="1" w:lastColumn="0" w:lastRow="0" w:noHBand="0" w:noVBand="1" w:val="04A0"/>
      </w:tblPr>
      <w:tblGrid>
        <w:gridCol w:w="2210"/>
        <w:gridCol w:w="2210"/>
        <w:gridCol w:w="2210"/>
        <w:gridCol w:w="2210"/>
      </w:tblGrid>
      <w:tr>
        <w:tc>
          <w:tcPr>
            <w:tcW w:type="dxa" w:w="567"/>
            <w:shd w:val="clear" w:color="auto" w:fill="2563EB"/>
            <w:vAlign w:val="center"/>
          </w:tcPr>
          <w:p>
            <w:pPr>
              <w:jc w:val="center"/>
            </w:pPr>
            <w:r>
              <w:rPr>
                <w:rFonts w:ascii="Times New Roman" w:hAnsi="Times New Roman"/>
                <w:b/>
                <w:i w:val="0"/>
                <w:color w:val="FFFFFF"/>
                <w:sz w:val="22"/>
              </w:rPr>
              <w:t>Task</w:t>
            </w:r>
          </w:p>
        </w:tc>
        <w:tc>
          <w:tcPr>
            <w:tcW w:type="dxa" w:w="2551"/>
            <w:shd w:val="clear" w:color="auto" w:fill="2563EB"/>
            <w:vAlign w:val="center"/>
          </w:tcPr>
          <w:p>
            <w:pPr>
              <w:jc w:val="center"/>
            </w:pPr>
            <w:r>
              <w:rPr>
                <w:rFonts w:ascii="Times New Roman" w:hAnsi="Times New Roman"/>
                <w:b/>
                <w:i w:val="0"/>
                <w:color w:val="FFFFFF"/>
                <w:sz w:val="22"/>
              </w:rPr>
              <w:t>Heading</w:t>
            </w:r>
          </w:p>
        </w:tc>
        <w:tc>
          <w:tcPr>
            <w:tcW w:type="dxa" w:w="3118"/>
            <w:shd w:val="clear" w:color="auto" w:fill="2563EB"/>
            <w:vAlign w:val="center"/>
          </w:tcPr>
          <w:p>
            <w:pPr>
              <w:jc w:val="center"/>
            </w:pPr>
            <w:r>
              <w:rPr>
                <w:rFonts w:ascii="Times New Roman" w:hAnsi="Times New Roman"/>
                <w:b/>
                <w:i w:val="0"/>
                <w:color w:val="FFFFFF"/>
                <w:sz w:val="22"/>
              </w:rPr>
              <w:t>Follow-Up Question</w:t>
            </w:r>
          </w:p>
        </w:tc>
        <w:tc>
          <w:tcPr>
            <w:tcW w:type="dxa" w:w="2551"/>
            <w:shd w:val="clear" w:color="auto" w:fill="2563EB"/>
            <w:vAlign w:val="center"/>
          </w:tcPr>
          <w:p>
            <w:pPr>
              <w:jc w:val="center"/>
            </w:pPr>
            <w:r>
              <w:rPr>
                <w:rFonts w:ascii="Times New Roman" w:hAnsi="Times New Roman"/>
                <w:b/>
                <w:i w:val="0"/>
                <w:color w:val="FFFFFF"/>
                <w:sz w:val="22"/>
              </w:rPr>
              <w:t>Response Options</w:t>
            </w:r>
          </w:p>
        </w:tc>
      </w:tr>
      <w:tr>
        <w:tc>
          <w:tcPr>
            <w:tcW w:type="dxa" w:w="567"/>
            <w:vAlign w:val="center"/>
          </w:tcPr>
          <w:p>
            <w:r>
              <w:rPr>
                <w:rFonts w:ascii="Times New Roman" w:hAnsi="Times New Roman"/>
                <w:b w:val="0"/>
                <w:i w:val="0"/>
                <w:sz w:val="21"/>
              </w:rPr>
              <w:t>1</w:t>
            </w:r>
          </w:p>
        </w:tc>
        <w:tc>
          <w:tcPr>
            <w:tcW w:type="dxa" w:w="2551"/>
            <w:vAlign w:val="center"/>
          </w:tcPr>
          <w:p>
            <w:r>
              <w:rPr>
                <w:rFonts w:ascii="Times New Roman" w:hAnsi="Times New Roman"/>
                <w:b w:val="0"/>
                <w:i w:val="0"/>
                <w:sz w:val="21"/>
              </w:rPr>
              <w:t>Explore the Building and Select a View</w:t>
            </w:r>
          </w:p>
        </w:tc>
        <w:tc>
          <w:tcPr>
            <w:tcW w:type="dxa" w:w="3118"/>
            <w:vAlign w:val="center"/>
          </w:tcPr>
          <w:p>
            <w:r>
              <w:rPr>
                <w:rFonts w:ascii="Times New Roman" w:hAnsi="Times New Roman"/>
                <w:b w:val="0"/>
                <w:i w:val="0"/>
                <w:sz w:val="21"/>
              </w:rPr>
              <w:t>Could you find and navigate to different areas easily?</w:t>
            </w:r>
          </w:p>
        </w:tc>
        <w:tc>
          <w:tcPr>
            <w:tcW w:type="dxa" w:w="2551"/>
            <w:vAlign w:val="center"/>
          </w:tcPr>
          <w:p>
            <w:r>
              <w:rPr>
                <w:rFonts w:ascii="Times New Roman" w:hAnsi="Times New Roman"/>
                <w:b w:val="0"/>
                <w:i w:val="0"/>
                <w:sz w:val="21"/>
              </w:rPr>
              <w:t>Very easy / Somewhat easy / Difficult</w:t>
            </w:r>
          </w:p>
        </w:tc>
      </w:tr>
      <w:tr>
        <w:tc>
          <w:tcPr>
            <w:tcW w:type="dxa" w:w="567"/>
            <w:shd w:val="clear" w:color="auto" w:fill="F0F4FF"/>
            <w:vAlign w:val="center"/>
          </w:tcPr>
          <w:p>
            <w:r>
              <w:rPr>
                <w:rFonts w:ascii="Times New Roman" w:hAnsi="Times New Roman"/>
                <w:b w:val="0"/>
                <w:i w:val="0"/>
                <w:sz w:val="21"/>
              </w:rPr>
              <w:t>2</w:t>
            </w:r>
          </w:p>
        </w:tc>
        <w:tc>
          <w:tcPr>
            <w:tcW w:type="dxa" w:w="2551"/>
            <w:shd w:val="clear" w:color="auto" w:fill="F0F4FF"/>
            <w:vAlign w:val="center"/>
          </w:tcPr>
          <w:p>
            <w:r>
              <w:rPr>
                <w:rFonts w:ascii="Times New Roman" w:hAnsi="Times New Roman"/>
                <w:b w:val="0"/>
                <w:i w:val="0"/>
                <w:sz w:val="21"/>
              </w:rPr>
              <w:t>Inspect Building Conditions Using Dashboards and Heatmaps</w:t>
            </w:r>
          </w:p>
        </w:tc>
        <w:tc>
          <w:tcPr>
            <w:tcW w:type="dxa" w:w="3118"/>
            <w:shd w:val="clear" w:color="auto" w:fill="F0F4FF"/>
            <w:vAlign w:val="center"/>
          </w:tcPr>
          <w:p>
            <w:r>
              <w:rPr>
                <w:rFonts w:ascii="Times New Roman" w:hAnsi="Times New Roman"/>
                <w:b w:val="0"/>
                <w:i w:val="0"/>
                <w:sz w:val="21"/>
              </w:rPr>
              <w:t>Was it clear what the building conditions are?</w:t>
            </w:r>
          </w:p>
        </w:tc>
        <w:tc>
          <w:tcPr>
            <w:tcW w:type="dxa" w:w="2551"/>
            <w:shd w:val="clear" w:color="auto" w:fill="F0F4FF"/>
            <w:vAlign w:val="center"/>
          </w:tcPr>
          <w:p>
            <w:r>
              <w:rPr>
                <w:rFonts w:ascii="Times New Roman" w:hAnsi="Times New Roman"/>
                <w:b w:val="0"/>
                <w:i w:val="0"/>
                <w:sz w:val="21"/>
              </w:rPr>
              <w:t>Very clear / Somewhat clear / Unclear</w:t>
            </w:r>
          </w:p>
        </w:tc>
      </w:tr>
      <w:tr>
        <w:tc>
          <w:tcPr>
            <w:tcW w:type="dxa" w:w="567"/>
            <w:vAlign w:val="center"/>
          </w:tcPr>
          <w:p>
            <w:r>
              <w:rPr>
                <w:rFonts w:ascii="Times New Roman" w:hAnsi="Times New Roman"/>
                <w:b w:val="0"/>
                <w:i w:val="0"/>
                <w:sz w:val="21"/>
              </w:rPr>
              <w:t>3</w:t>
            </w:r>
          </w:p>
        </w:tc>
        <w:tc>
          <w:tcPr>
            <w:tcW w:type="dxa" w:w="2551"/>
            <w:vAlign w:val="center"/>
          </w:tcPr>
          <w:p>
            <w:r>
              <w:rPr>
                <w:rFonts w:ascii="Times New Roman" w:hAnsi="Times New Roman"/>
                <w:b w:val="0"/>
                <w:i w:val="0"/>
                <w:sz w:val="21"/>
              </w:rPr>
              <w:t>Use the AI Assistant for Decision Support</w:t>
            </w:r>
          </w:p>
        </w:tc>
        <w:tc>
          <w:tcPr>
            <w:tcW w:type="dxa" w:w="3118"/>
            <w:vAlign w:val="center"/>
          </w:tcPr>
          <w:p>
            <w:r>
              <w:rPr>
                <w:rFonts w:ascii="Times New Roman" w:hAnsi="Times New Roman"/>
                <w:b w:val="0"/>
                <w:i w:val="0"/>
                <w:sz w:val="21"/>
              </w:rPr>
              <w:t>Did the AI insights help you understand what actions might be needed?</w:t>
            </w:r>
          </w:p>
        </w:tc>
        <w:tc>
          <w:tcPr>
            <w:tcW w:type="dxa" w:w="2551"/>
            <w:vAlign w:val="center"/>
          </w:tcPr>
          <w:p>
            <w:r>
              <w:rPr>
                <w:rFonts w:ascii="Times New Roman" w:hAnsi="Times New Roman"/>
                <w:b w:val="0"/>
                <w:i w:val="0"/>
                <w:sz w:val="21"/>
              </w:rPr>
              <w:t>Very helpful / Somewhat helpful / Not helpful</w:t>
            </w:r>
          </w:p>
        </w:tc>
      </w:tr>
    </w:tbl>
    <w:p/>
    <w:p>
      <w:pPr>
        <w:spacing w:before="40" w:after="200" w:line="320" w:lineRule="exact"/>
        <w:jc w:val="center"/>
      </w:pPr>
      <w:r>
        <w:rPr>
          <w:rFonts w:ascii="Times New Roman" w:hAnsi="Times New Roman"/>
          <w:b w:val="0"/>
          <w:i/>
          <w:sz w:val="20"/>
        </w:rPr>
        <w:t>Table 5.2. Task-based evaluation scenarios and follow-up questions.</w:t>
      </w:r>
    </w:p>
    <w:p>
      <w:pPr>
        <w:spacing w:before="0" w:after="120" w:line="440" w:lineRule="exact"/>
        <w:ind w:firstLine="709"/>
        <w:jc w:val="both"/>
      </w:pPr>
      <w:r>
        <w:rPr>
          <w:rFonts w:ascii="Times New Roman" w:hAnsi="Times New Roman"/>
          <w:b w:val="0"/>
          <w:i w:val="0"/>
          <w:sz w:val="24"/>
        </w:rPr>
        <w:t>Task 1 assessed three-dimensional spatial navigation — the ability to orient oneself within the 3D building model and locate specific areas. This task directly evaluated one of the platform's foundational capabilities and is of particular relevance to stakeholders whose role involves physical building management.</w:t>
      </w:r>
    </w:p>
    <w:p>
      <w:pPr>
        <w:spacing w:before="0" w:after="120" w:line="440" w:lineRule="exact"/>
        <w:ind w:firstLine="709"/>
        <w:jc w:val="both"/>
      </w:pPr>
      <w:r>
        <w:rPr>
          <w:rFonts w:ascii="Times New Roman" w:hAnsi="Times New Roman"/>
          <w:b w:val="0"/>
          <w:i w:val="0"/>
          <w:sz w:val="24"/>
        </w:rPr>
        <w:t>Task 2 assessed the participant's ability to use the dashboard and heatmap panels to understand live and replayed building conditions, including energy consumption by circuit, and indoor air quality metrics (temperature, humidity, and CO₂) by room. This task evaluated the communicative clarity of the platform's data visualisations.</w:t>
      </w:r>
    </w:p>
    <w:p>
      <w:pPr>
        <w:spacing w:before="0" w:after="120" w:line="440" w:lineRule="exact"/>
        <w:ind w:firstLine="709"/>
        <w:jc w:val="both"/>
      </w:pPr>
      <w:r>
        <w:rPr>
          <w:rFonts w:ascii="Times New Roman" w:hAnsi="Times New Roman"/>
          <w:b w:val="0"/>
          <w:i w:val="0"/>
          <w:sz w:val="24"/>
        </w:rPr>
        <w:t>Task 3 assessed the perceived utility of the conversational AI assistant embedded within the platform. Participants were instructed to ask the assistant questions about the building — including spatially anchored queries (e.g., 'show me elevators') and data-oriented queries (e.g., 'current temperature in the conference room') — and to note whether the AI's responses helped them identify actionable next steps. This task was designed to assess the value-add of AI-mediated decision support over direct dashboard inspection.</w:t>
      </w:r>
    </w:p>
    <w:p>
      <w:pPr>
        <w:spacing w:before="360" w:after="160"/>
      </w:pPr>
      <w:r>
        <w:rPr>
          <w:rFonts w:ascii="Times New Roman" w:hAnsi="Times New Roman"/>
          <w:b/>
          <w:i w:val="0"/>
          <w:sz w:val="28"/>
        </w:rPr>
        <w:t>5.4.5  Stage 5: Feature Ratings</w:t>
      </w:r>
    </w:p>
    <w:p>
      <w:pPr>
        <w:spacing w:before="0" w:after="120" w:line="440" w:lineRule="exact"/>
        <w:ind w:firstLine="709"/>
        <w:jc w:val="both"/>
      </w:pPr>
      <w:r>
        <w:rPr>
          <w:rFonts w:ascii="Times New Roman" w:hAnsi="Times New Roman"/>
          <w:b w:val="0"/>
          <w:i w:val="0"/>
          <w:sz w:val="24"/>
        </w:rPr>
        <w:t>Having interacted with the platform through the tour and structured tasks, participants were asked to rate each of the eight core feature modules on a five-point Likert scale anchored at 1 (not useful) and 5 (very useful). An optional free-text comment field was provided for each feature, allowing participants to specify what worked well, what was unclear, or what should be changed. Participants additionally completed two dropdown selections: which feature they would use most often in their daily work, and which feature they considered in most need of improvement.</w:t>
      </w:r>
    </w:p>
    <w:p>
      <w:pPr>
        <w:spacing w:before="0" w:after="120" w:line="440" w:lineRule="exact"/>
        <w:ind w:firstLine="709"/>
        <w:jc w:val="both"/>
      </w:pPr>
      <w:r>
        <w:rPr>
          <w:rFonts w:ascii="Times New Roman" w:hAnsi="Times New Roman"/>
          <w:b w:val="0"/>
          <w:i w:val="0"/>
          <w:sz w:val="24"/>
        </w:rPr>
        <w:t>The eight features evaluated were: (1) 3D Building Viewer, (2) Energy Monitoring, (3) Solar &amp; Battery, (4) Room Air Quality, (5) Fault Detection, (6) Scenarios, (7) Forecast, and (8) Role-Specific Dashboard. These features correspond directly to the functional modules implemented in the platform and to the user stories collected during the requirements analysis phase of the research.</w:t>
      </w:r>
    </w:p>
    <w:p>
      <w:pPr>
        <w:spacing w:before="360" w:after="160"/>
      </w:pPr>
      <w:r>
        <w:rPr>
          <w:rFonts w:ascii="Times New Roman" w:hAnsi="Times New Roman"/>
          <w:b/>
          <w:i w:val="0"/>
          <w:sz w:val="28"/>
        </w:rPr>
        <w:t>5.4.6  Stage 6: Open Feedback</w:t>
      </w:r>
    </w:p>
    <w:p>
      <w:pPr>
        <w:spacing w:before="0" w:after="120" w:line="440" w:lineRule="exact"/>
        <w:ind w:firstLine="709"/>
        <w:jc w:val="both"/>
      </w:pPr>
      <w:r>
        <w:rPr>
          <w:rFonts w:ascii="Times New Roman" w:hAnsi="Times New Roman"/>
          <w:b w:val="0"/>
          <w:i w:val="0"/>
          <w:sz w:val="24"/>
        </w:rPr>
        <w:t>The penultimate stage collected holistic impressions of the platform through a combination of structured and open-ended questions. An overall satisfaction rating was captured using a five-point emoji-anchored scale, labelled from 'Needs a lot of work' to 'Exceptional'. Participants were then asked four open-text questions: what they found most useful or impressive; what they found confusing, missing, or frustrating; whether they would use the system in their daily work (four-option forced choice); and any additional comments, ideas, or questions.</w:t>
      </w:r>
    </w:p>
    <w:p>
      <w:pPr>
        <w:spacing w:before="0" w:after="120" w:line="440" w:lineRule="exact"/>
        <w:ind w:firstLine="709"/>
        <w:jc w:val="both"/>
      </w:pPr>
      <w:r>
        <w:rPr>
          <w:rFonts w:ascii="Times New Roman" w:hAnsi="Times New Roman"/>
          <w:b w:val="0"/>
          <w:i w:val="0"/>
          <w:sz w:val="24"/>
        </w:rPr>
        <w:t>Participants were additionally offered the option to provide their name and email address. These fields were explicitly marked as optional and were included solely to facilitate follow-up contact if participants wished to share further thoughts with the researcher. The consent information presented in Stage 1 explicitly stated that no identifying information was required for participation.</w:t>
      </w:r>
    </w:p>
    <w:p>
      <w:pPr>
        <w:spacing w:before="360" w:after="160"/>
      </w:pPr>
      <w:r>
        <w:rPr>
          <w:rFonts w:ascii="Times New Roman" w:hAnsi="Times New Roman"/>
          <w:b/>
          <w:i w:val="0"/>
          <w:sz w:val="28"/>
        </w:rPr>
        <w:t>5.4.7  Stage 7: AI-Generated Summary and Database Storage</w:t>
      </w:r>
    </w:p>
    <w:p>
      <w:pPr>
        <w:spacing w:before="0" w:after="120" w:line="440" w:lineRule="exact"/>
        <w:ind w:firstLine="709"/>
        <w:jc w:val="both"/>
      </w:pPr>
      <w:r>
        <w:rPr>
          <w:rFonts w:ascii="Times New Roman" w:hAnsi="Times New Roman"/>
          <w:b w:val="0"/>
          <w:i w:val="0"/>
          <w:sz w:val="24"/>
        </w:rPr>
        <w:t>Upon survey submission, participants were presented with a personalised AI-generated summary of their responses on the thank-you page. This summary was produced by the OpenAI language model via the application's backend (a Netlify serverless function), drawing on the participant's role, task outcomes, feature ratings, and open-text comments to construct a concise, research-style recap. In cases where the AI generation endpoint was unavailable, a deterministic fallback function generated a structured narrative from the same data fields.</w:t>
      </w:r>
    </w:p>
    <w:p>
      <w:pPr>
        <w:spacing w:before="0" w:after="120" w:line="440" w:lineRule="exact"/>
        <w:ind w:firstLine="709"/>
        <w:jc w:val="both"/>
      </w:pPr>
      <w:r>
        <w:rPr>
          <w:rFonts w:ascii="Times New Roman" w:hAnsi="Times New Roman"/>
          <w:b w:val="0"/>
          <w:i w:val="0"/>
          <w:sz w:val="24"/>
        </w:rPr>
        <w:t>All responses — including the AI-generated summary — were stored in a Supabase PostgreSQL database via a secure serverless function. The database used row-level security policies and service-role authentication to prevent unauthorised direct access. A dual-database architecture was implemented, with a primary and a secondary Supabase instance, to provide data redundancy. The survey responses were stored as structured records containing task outcomes, individual feature ratings, open-text responses, timestamps, and AI summaries.</w:t>
      </w:r>
    </w:p>
    <w:p>
      <w:pPr>
        <w:spacing w:before="480" w:after="240"/>
      </w:pPr>
      <w:r>
        <w:rPr>
          <w:rFonts w:ascii="Times New Roman" w:hAnsi="Times New Roman"/>
          <w:b/>
          <w:i w:val="0"/>
          <w:sz w:val="32"/>
        </w:rPr>
        <w:t>5.5  Participant Sample</w:t>
      </w:r>
    </w:p>
    <w:p>
      <w:pPr>
        <w:spacing w:before="360" w:after="160"/>
      </w:pPr>
      <w:r>
        <w:rPr>
          <w:rFonts w:ascii="Times New Roman" w:hAnsi="Times New Roman"/>
          <w:b/>
          <w:i w:val="0"/>
          <w:sz w:val="28"/>
        </w:rPr>
        <w:t>5.5.1  Sampling Strategy</w:t>
      </w:r>
    </w:p>
    <w:p>
      <w:pPr>
        <w:spacing w:before="0" w:after="120" w:line="440" w:lineRule="exact"/>
        <w:ind w:firstLine="709"/>
        <w:jc w:val="both"/>
      </w:pPr>
      <w:r>
        <w:rPr>
          <w:rFonts w:ascii="Times New Roman" w:hAnsi="Times New Roman"/>
          <w:b w:val="0"/>
          <w:i w:val="0"/>
          <w:sz w:val="24"/>
        </w:rPr>
        <w:t>Participants were recruited through purposive sampling, targeting individuals with professional or academic connections to the GATE Institute building and to smart building management more broadly. Recruitment channels included direct outreach within the University of Twente, communication with GATE Institute staff, and distribution to professional contacts in the facilities management and sustainability sectors. The survey was designed to be accessible to participants without prior familiarity with the EDT platform, ensuring that usability findings would reflect first-exposure experiences rather than trained user performance.</w:t>
      </w:r>
    </w:p>
    <w:p>
      <w:pPr>
        <w:spacing w:before="360" w:after="160"/>
      </w:pPr>
      <w:r>
        <w:rPr>
          <w:rFonts w:ascii="Times New Roman" w:hAnsi="Times New Roman"/>
          <w:b/>
          <w:i w:val="0"/>
          <w:sz w:val="28"/>
        </w:rPr>
        <w:t>5.5.2  Stakeholder Roles and Affiliations</w:t>
      </w:r>
    </w:p>
    <w:p>
      <w:pPr>
        <w:spacing w:before="0" w:after="120" w:line="440" w:lineRule="exact"/>
        <w:ind w:firstLine="709"/>
        <w:jc w:val="both"/>
      </w:pPr>
      <w:r>
        <w:rPr>
          <w:rFonts w:ascii="Times New Roman" w:hAnsi="Times New Roman"/>
          <w:b w:val="0"/>
          <w:i w:val="0"/>
          <w:sz w:val="24"/>
        </w:rPr>
        <w:t>The six stakeholder archetypes included in the survey were informed by the user role analysis conducted during the platform design phase. Each archetype represents a distinct set of information needs and interaction patterns with building management data. Table 5.3 summarises the archetypes and their characteristic perspectives.</w:t>
      </w:r>
    </w:p>
    <w:tbl>
      <w:tblPr>
        <w:tblStyle w:val="TableGrid"/>
        <w:tblW w:type="auto" w:w="0"/>
        <w:tblLook w:firstColumn="1" w:firstRow="1" w:lastColumn="0" w:lastRow="0" w:noHBand="0" w:noVBand="1" w:val="04A0"/>
      </w:tblPr>
      <w:tblGrid>
        <w:gridCol w:w="2946"/>
        <w:gridCol w:w="2946"/>
        <w:gridCol w:w="2946"/>
      </w:tblGrid>
      <w:tr>
        <w:tc>
          <w:tcPr>
            <w:tcW w:type="dxa" w:w="2551"/>
            <w:shd w:val="clear" w:color="auto" w:fill="2563EB"/>
            <w:vAlign w:val="center"/>
          </w:tcPr>
          <w:p>
            <w:pPr>
              <w:jc w:val="center"/>
            </w:pPr>
            <w:r>
              <w:rPr>
                <w:rFonts w:ascii="Times New Roman" w:hAnsi="Times New Roman"/>
                <w:b/>
                <w:i w:val="0"/>
                <w:color w:val="FFFFFF"/>
                <w:sz w:val="22"/>
              </w:rPr>
              <w:t>Role</w:t>
            </w:r>
          </w:p>
        </w:tc>
        <w:tc>
          <w:tcPr>
            <w:tcW w:type="dxa" w:w="2835"/>
            <w:shd w:val="clear" w:color="auto" w:fill="2563EB"/>
            <w:vAlign w:val="center"/>
          </w:tcPr>
          <w:p>
            <w:pPr>
              <w:jc w:val="center"/>
            </w:pPr>
            <w:r>
              <w:rPr>
                <w:rFonts w:ascii="Times New Roman" w:hAnsi="Times New Roman"/>
                <w:b/>
                <w:i w:val="0"/>
                <w:color w:val="FFFFFF"/>
                <w:sz w:val="22"/>
              </w:rPr>
              <w:t>Primary Perspective</w:t>
            </w:r>
          </w:p>
        </w:tc>
        <w:tc>
          <w:tcPr>
            <w:tcW w:type="dxa" w:w="3402"/>
            <w:shd w:val="clear" w:color="auto" w:fill="2563EB"/>
            <w:vAlign w:val="center"/>
          </w:tcPr>
          <w:p>
            <w:pPr>
              <w:jc w:val="center"/>
            </w:pPr>
            <w:r>
              <w:rPr>
                <w:rFonts w:ascii="Times New Roman" w:hAnsi="Times New Roman"/>
                <w:b/>
                <w:i w:val="0"/>
                <w:color w:val="FFFFFF"/>
                <w:sz w:val="22"/>
              </w:rPr>
              <w:t>Key Information Needs</w:t>
            </w:r>
          </w:p>
        </w:tc>
      </w:tr>
      <w:tr>
        <w:tc>
          <w:tcPr>
            <w:tcW w:type="dxa" w:w="2551"/>
            <w:vAlign w:val="center"/>
          </w:tcPr>
          <w:p>
            <w:r>
              <w:rPr>
                <w:rFonts w:ascii="Times New Roman" w:hAnsi="Times New Roman"/>
                <w:b w:val="0"/>
                <w:i w:val="0"/>
                <w:sz w:val="21"/>
              </w:rPr>
              <w:t>Building Director / Management</w:t>
            </w:r>
          </w:p>
        </w:tc>
        <w:tc>
          <w:tcPr>
            <w:tcW w:type="dxa" w:w="2835"/>
            <w:vAlign w:val="center"/>
          </w:tcPr>
          <w:p>
            <w:r>
              <w:rPr>
                <w:rFonts w:ascii="Times New Roman" w:hAnsi="Times New Roman"/>
                <w:b w:val="0"/>
                <w:i w:val="0"/>
                <w:sz w:val="21"/>
              </w:rPr>
              <w:t>Strategic decisions, costs, sustainability</w:t>
            </w:r>
          </w:p>
        </w:tc>
        <w:tc>
          <w:tcPr>
            <w:tcW w:type="dxa" w:w="3402"/>
            <w:vAlign w:val="center"/>
          </w:tcPr>
          <w:p>
            <w:r>
              <w:rPr>
                <w:rFonts w:ascii="Times New Roman" w:hAnsi="Times New Roman"/>
                <w:b w:val="0"/>
                <w:i w:val="0"/>
                <w:sz w:val="21"/>
              </w:rPr>
              <w:t>Energy cost, carbon performance, capital investment cases</w:t>
            </w:r>
          </w:p>
        </w:tc>
      </w:tr>
      <w:tr>
        <w:tc>
          <w:tcPr>
            <w:tcW w:type="dxa" w:w="2551"/>
            <w:shd w:val="clear" w:color="auto" w:fill="F0F4FF"/>
            <w:vAlign w:val="center"/>
          </w:tcPr>
          <w:p>
            <w:r>
              <w:rPr>
                <w:rFonts w:ascii="Times New Roman" w:hAnsi="Times New Roman"/>
                <w:b w:val="0"/>
                <w:i w:val="0"/>
                <w:sz w:val="21"/>
              </w:rPr>
              <w:t>Facilities Manager</w:t>
            </w:r>
          </w:p>
        </w:tc>
        <w:tc>
          <w:tcPr>
            <w:tcW w:type="dxa" w:w="2835"/>
            <w:shd w:val="clear" w:color="auto" w:fill="F0F4FF"/>
            <w:vAlign w:val="center"/>
          </w:tcPr>
          <w:p>
            <w:r>
              <w:rPr>
                <w:rFonts w:ascii="Times New Roman" w:hAnsi="Times New Roman"/>
                <w:b w:val="0"/>
                <w:i w:val="0"/>
                <w:sz w:val="21"/>
              </w:rPr>
              <w:t>Day-to-day operations, maintenance, equipment</w:t>
            </w:r>
          </w:p>
        </w:tc>
        <w:tc>
          <w:tcPr>
            <w:tcW w:type="dxa" w:w="3402"/>
            <w:shd w:val="clear" w:color="auto" w:fill="F0F4FF"/>
            <w:vAlign w:val="center"/>
          </w:tcPr>
          <w:p>
            <w:r>
              <w:rPr>
                <w:rFonts w:ascii="Times New Roman" w:hAnsi="Times New Roman"/>
                <w:b w:val="0"/>
                <w:i w:val="0"/>
                <w:sz w:val="21"/>
              </w:rPr>
              <w:t>Fault alerts, circuit-level anomalies, equipment status</w:t>
            </w:r>
          </w:p>
        </w:tc>
      </w:tr>
      <w:tr>
        <w:tc>
          <w:tcPr>
            <w:tcW w:type="dxa" w:w="2551"/>
            <w:vAlign w:val="center"/>
          </w:tcPr>
          <w:p>
            <w:r>
              <w:rPr>
                <w:rFonts w:ascii="Times New Roman" w:hAnsi="Times New Roman"/>
                <w:b w:val="0"/>
                <w:i w:val="0"/>
                <w:sz w:val="21"/>
              </w:rPr>
              <w:t>Sustainability Officer</w:t>
            </w:r>
          </w:p>
        </w:tc>
        <w:tc>
          <w:tcPr>
            <w:tcW w:type="dxa" w:w="2835"/>
            <w:vAlign w:val="center"/>
          </w:tcPr>
          <w:p>
            <w:r>
              <w:rPr>
                <w:rFonts w:ascii="Times New Roman" w:hAnsi="Times New Roman"/>
                <w:b w:val="0"/>
                <w:i w:val="0"/>
                <w:sz w:val="21"/>
              </w:rPr>
              <w:t>Carbon reporting, energy targets, green goals</w:t>
            </w:r>
          </w:p>
        </w:tc>
        <w:tc>
          <w:tcPr>
            <w:tcW w:type="dxa" w:w="3402"/>
            <w:vAlign w:val="center"/>
          </w:tcPr>
          <w:p>
            <w:r>
              <w:rPr>
                <w:rFonts w:ascii="Times New Roman" w:hAnsi="Times New Roman"/>
                <w:b w:val="0"/>
                <w:i w:val="0"/>
                <w:sz w:val="21"/>
              </w:rPr>
              <w:t>Solar yield, consumption trends, scenario modelling</w:t>
            </w:r>
          </w:p>
        </w:tc>
      </w:tr>
      <w:tr>
        <w:tc>
          <w:tcPr>
            <w:tcW w:type="dxa" w:w="2551"/>
            <w:shd w:val="clear" w:color="auto" w:fill="F0F4FF"/>
            <w:vAlign w:val="center"/>
          </w:tcPr>
          <w:p>
            <w:r>
              <w:rPr>
                <w:rFonts w:ascii="Times New Roman" w:hAnsi="Times New Roman"/>
                <w:b w:val="0"/>
                <w:i w:val="0"/>
                <w:sz w:val="21"/>
              </w:rPr>
              <w:t>IT Staff</w:t>
            </w:r>
          </w:p>
        </w:tc>
        <w:tc>
          <w:tcPr>
            <w:tcW w:type="dxa" w:w="2835"/>
            <w:shd w:val="clear" w:color="auto" w:fill="F0F4FF"/>
            <w:vAlign w:val="center"/>
          </w:tcPr>
          <w:p>
            <w:r>
              <w:rPr>
                <w:rFonts w:ascii="Times New Roman" w:hAnsi="Times New Roman"/>
                <w:b w:val="0"/>
                <w:i w:val="0"/>
                <w:sz w:val="21"/>
              </w:rPr>
              <w:t>Systems, servers, infrastructure</w:t>
            </w:r>
          </w:p>
        </w:tc>
        <w:tc>
          <w:tcPr>
            <w:tcW w:type="dxa" w:w="3402"/>
            <w:shd w:val="clear" w:color="auto" w:fill="F0F4FF"/>
            <w:vAlign w:val="center"/>
          </w:tcPr>
          <w:p>
            <w:r>
              <w:rPr>
                <w:rFonts w:ascii="Times New Roman" w:hAnsi="Times New Roman"/>
                <w:b w:val="0"/>
                <w:i w:val="0"/>
                <w:sz w:val="21"/>
              </w:rPr>
              <w:t>Data connectivity, system reliability, sensor status</w:t>
            </w:r>
          </w:p>
        </w:tc>
      </w:tr>
      <w:tr>
        <w:tc>
          <w:tcPr>
            <w:tcW w:type="dxa" w:w="2551"/>
            <w:vAlign w:val="center"/>
          </w:tcPr>
          <w:p>
            <w:r>
              <w:rPr>
                <w:rFonts w:ascii="Times New Roman" w:hAnsi="Times New Roman"/>
                <w:b w:val="0"/>
                <w:i w:val="0"/>
                <w:sz w:val="21"/>
              </w:rPr>
              <w:t>Office Worker</w:t>
            </w:r>
          </w:p>
        </w:tc>
        <w:tc>
          <w:tcPr>
            <w:tcW w:type="dxa" w:w="2835"/>
            <w:vAlign w:val="center"/>
          </w:tcPr>
          <w:p>
            <w:r>
              <w:rPr>
                <w:rFonts w:ascii="Times New Roman" w:hAnsi="Times New Roman"/>
                <w:b w:val="0"/>
                <w:i w:val="0"/>
                <w:sz w:val="21"/>
              </w:rPr>
              <w:t>Daily comfort, indoor environment</w:t>
            </w:r>
          </w:p>
        </w:tc>
        <w:tc>
          <w:tcPr>
            <w:tcW w:type="dxa" w:w="3402"/>
            <w:vAlign w:val="center"/>
          </w:tcPr>
          <w:p>
            <w:r>
              <w:rPr>
                <w:rFonts w:ascii="Times New Roman" w:hAnsi="Times New Roman"/>
                <w:b w:val="0"/>
                <w:i w:val="0"/>
                <w:sz w:val="21"/>
              </w:rPr>
              <w:t>Room temperature, CO₂ levels, humidity conditions</w:t>
            </w:r>
          </w:p>
        </w:tc>
      </w:tr>
      <w:tr>
        <w:tc>
          <w:tcPr>
            <w:tcW w:type="dxa" w:w="2551"/>
            <w:shd w:val="clear" w:color="auto" w:fill="F0F4FF"/>
            <w:vAlign w:val="center"/>
          </w:tcPr>
          <w:p>
            <w:r>
              <w:rPr>
                <w:rFonts w:ascii="Times New Roman" w:hAnsi="Times New Roman"/>
                <w:b w:val="0"/>
                <w:i w:val="0"/>
                <w:sz w:val="21"/>
              </w:rPr>
              <w:t>External Visitor / Stakeholder</w:t>
            </w:r>
          </w:p>
        </w:tc>
        <w:tc>
          <w:tcPr>
            <w:tcW w:type="dxa" w:w="2835"/>
            <w:shd w:val="clear" w:color="auto" w:fill="F0F4FF"/>
            <w:vAlign w:val="center"/>
          </w:tcPr>
          <w:p>
            <w:r>
              <w:rPr>
                <w:rFonts w:ascii="Times New Roman" w:hAnsi="Times New Roman"/>
                <w:b w:val="0"/>
                <w:i w:val="0"/>
                <w:sz w:val="21"/>
              </w:rPr>
              <w:t>Project review, external oversight</w:t>
            </w:r>
          </w:p>
        </w:tc>
        <w:tc>
          <w:tcPr>
            <w:tcW w:type="dxa" w:w="3402"/>
            <w:shd w:val="clear" w:color="auto" w:fill="F0F4FF"/>
            <w:vAlign w:val="center"/>
          </w:tcPr>
          <w:p>
            <w:r>
              <w:rPr>
                <w:rFonts w:ascii="Times New Roman" w:hAnsi="Times New Roman"/>
                <w:b w:val="0"/>
                <w:i w:val="0"/>
                <w:sz w:val="21"/>
              </w:rPr>
              <w:t>Overall platform legibility, headline metrics</w:t>
            </w:r>
          </w:p>
        </w:tc>
      </w:tr>
    </w:tbl>
    <w:p/>
    <w:p>
      <w:pPr>
        <w:spacing w:before="40" w:after="200" w:line="320" w:lineRule="exact"/>
        <w:jc w:val="center"/>
      </w:pPr>
      <w:r>
        <w:rPr>
          <w:rFonts w:ascii="Times New Roman" w:hAnsi="Times New Roman"/>
          <w:b w:val="0"/>
          <w:i/>
          <w:sz w:val="20"/>
        </w:rPr>
        <w:t>Table 5.3. Stakeholder archetypes and characteristic information needs.</w:t>
      </w:r>
    </w:p>
    <w:p>
      <w:pPr>
        <w:spacing w:before="0" w:after="120" w:line="440" w:lineRule="exact"/>
        <w:ind w:firstLine="709"/>
        <w:jc w:val="both"/>
      </w:pPr>
      <w:r>
        <w:rPr>
          <w:rFonts w:ascii="Times New Roman" w:hAnsi="Times New Roman"/>
          <w:b w:val="0"/>
          <w:i w:val="0"/>
          <w:sz w:val="24"/>
        </w:rPr>
        <w:t>This role diversity was an intentional design choice. An energy digital twin intended for a multi-stakeholder building environment must serve users whose technical literacy, data fluency, and task priorities differ substantially. A usability evaluation that sampled from a single stakeholder group — for example, only facilities managers — would generate findings of limited generalisability to the platform's intended user population.</w:t>
      </w:r>
    </w:p>
    <w:p>
      <w:pPr>
        <w:spacing w:before="480" w:after="240"/>
      </w:pPr>
      <w:r>
        <w:rPr>
          <w:rFonts w:ascii="Times New Roman" w:hAnsi="Times New Roman"/>
          <w:b/>
          <w:i w:val="0"/>
          <w:sz w:val="32"/>
        </w:rPr>
        <w:t>5.6  Evaluation Procedure</w:t>
      </w:r>
    </w:p>
    <w:p>
      <w:pPr>
        <w:spacing w:before="360" w:after="160"/>
      </w:pPr>
      <w:r>
        <w:rPr>
          <w:rFonts w:ascii="Times New Roman" w:hAnsi="Times New Roman"/>
          <w:b/>
          <w:i w:val="0"/>
          <w:sz w:val="28"/>
        </w:rPr>
        <w:t>5.6.1  Access and Orientation</w:t>
      </w:r>
    </w:p>
    <w:p>
      <w:pPr>
        <w:spacing w:before="0" w:after="120" w:line="440" w:lineRule="exact"/>
        <w:ind w:firstLine="709"/>
        <w:jc w:val="both"/>
      </w:pPr>
      <w:r>
        <w:rPr>
          <w:rFonts w:ascii="Times New Roman" w:hAnsi="Times New Roman"/>
          <w:b w:val="0"/>
          <w:i w:val="0"/>
          <w:sz w:val="24"/>
        </w:rPr>
        <w:t>Participants received a short briefing message — distributed via email or direct communication — explaining that they were invited to evaluate a digital building management platform as part of a Master's thesis research project. The message provided a direct link to the survey URL and confirmed that the evaluation was expected to take approximately five to ten minutes to complete, with an additional two to five minutes of platform exploration time.</w:t>
      </w:r>
    </w:p>
    <w:p>
      <w:pPr>
        <w:spacing w:before="0" w:after="120" w:line="440" w:lineRule="exact"/>
        <w:ind w:firstLine="709"/>
        <w:jc w:val="both"/>
      </w:pPr>
      <w:r>
        <w:rPr>
          <w:rFonts w:ascii="Times New Roman" w:hAnsi="Times New Roman"/>
          <w:b w:val="0"/>
          <w:i w:val="0"/>
          <w:sz w:val="24"/>
        </w:rPr>
        <w:t>No preparatory materials, tutorials, or prior exposure to the platform were provided before the survey. This design decision was deliberate: the evaluation was intended to capture the impressions and difficulties experienced by a new user encountering the platform for the first time, which is the most ecologically valid context for assessing usability in the platform's early deployment phase.</w:t>
      </w:r>
    </w:p>
    <w:p>
      <w:pPr>
        <w:spacing w:before="360" w:after="160"/>
      </w:pPr>
      <w:r>
        <w:rPr>
          <w:rFonts w:ascii="Times New Roman" w:hAnsi="Times New Roman"/>
          <w:b/>
          <w:i w:val="0"/>
          <w:sz w:val="28"/>
        </w:rPr>
        <w:t>5.6.2  Session Flow</w:t>
      </w:r>
    </w:p>
    <w:p>
      <w:pPr>
        <w:spacing w:before="0" w:after="120" w:line="440" w:lineRule="exact"/>
        <w:ind w:firstLine="709"/>
        <w:jc w:val="both"/>
      </w:pPr>
      <w:r>
        <w:rPr>
          <w:rFonts w:ascii="Times New Roman" w:hAnsi="Times New Roman"/>
          <w:b w:val="0"/>
          <w:i w:val="0"/>
          <w:sz w:val="24"/>
        </w:rPr>
        <w:t>Upon accessing the survey URL, participants encountered the consent and information stage. Once consent was confirmed, they selected their role and affiliation, then entered the guided tour stage. The live EDT platform was accessible throughout the session — participants could interact with it through the embedded preview or in a separate browser tab. After the tour, participants completed the three structured tasks sequentially, recording their outcomes and optional notes in the survey interface without leaving the platform context. The feature rating stage followed, succeeded by the open feedback stage. On submitting their feedback, participants were presented with the AI-generated summary and a thank-you page providing access to a link for the full platform and researcher contact information.</w:t>
      </w:r>
    </w:p>
    <w:p>
      <w:pPr>
        <w:spacing w:before="360" w:after="160"/>
      </w:pPr>
      <w:r>
        <w:rPr>
          <w:rFonts w:ascii="Times New Roman" w:hAnsi="Times New Roman"/>
          <w:b/>
          <w:i w:val="0"/>
          <w:sz w:val="28"/>
        </w:rPr>
        <w:t>5.6.3  Survey Progress Persistence</w:t>
      </w:r>
    </w:p>
    <w:p>
      <w:pPr>
        <w:spacing w:before="0" w:after="120" w:line="440" w:lineRule="exact"/>
        <w:ind w:firstLine="709"/>
        <w:jc w:val="both"/>
      </w:pPr>
      <w:r>
        <w:rPr>
          <w:rFonts w:ascii="Times New Roman" w:hAnsi="Times New Roman"/>
          <w:b w:val="0"/>
          <w:i w:val="0"/>
          <w:sz w:val="24"/>
        </w:rPr>
        <w:t>To accommodate participants who could not complete the evaluation in a single sitting, the survey instrument implemented client-side progress persistence via the browser's localStorage API. Incomplete survey state was automatically saved at each step change, and returning participants were offered the option to resume from their last completed stage or restart from the beginning. This mechanism ensured that partial responses were not lost due to interruptions, improving data completeness without requiring participant accounts or server-side session management.</w:t>
      </w:r>
    </w:p>
    <w:p>
      <w:pPr>
        <w:spacing w:before="480" w:after="240"/>
      </w:pPr>
      <w:r>
        <w:rPr>
          <w:rFonts w:ascii="Times New Roman" w:hAnsi="Times New Roman"/>
          <w:b/>
          <w:i w:val="0"/>
          <w:sz w:val="32"/>
        </w:rPr>
        <w:t>5.7  Feature Evaluation Framework</w:t>
      </w:r>
    </w:p>
    <w:p>
      <w:pPr>
        <w:spacing w:before="0" w:after="120" w:line="440" w:lineRule="exact"/>
        <w:ind w:firstLine="709"/>
        <w:jc w:val="both"/>
      </w:pPr>
      <w:r>
        <w:rPr>
          <w:rFonts w:ascii="Times New Roman" w:hAnsi="Times New Roman"/>
          <w:b w:val="0"/>
          <w:i w:val="0"/>
          <w:sz w:val="24"/>
        </w:rPr>
        <w:t>The selection and grouping of features for the rating stage was grounded in the platform's functional architecture. The eight rated modules collectively span the platform's primary analytical and operational capabilities: spatial understanding (3D Viewer), real-time operational data (Energy Monitoring, IAQ, Fault Detection), energy generation and storage (Solar &amp; Battery), planning and forecasting (Scenarios, Forecast), and personalisation (Role Dashboard). Table 5.4 maps each feature to its functional category and the key user story it addresses.</w:t>
      </w:r>
    </w:p>
    <w:tbl>
      <w:tblPr>
        <w:tblStyle w:val="TableGrid"/>
        <w:tblW w:type="auto" w:w="0"/>
        <w:tblLook w:firstColumn="1" w:firstRow="1" w:lastColumn="0" w:lastRow="0" w:noHBand="0" w:noVBand="1" w:val="04A0"/>
      </w:tblPr>
      <w:tblGrid>
        <w:gridCol w:w="2946"/>
        <w:gridCol w:w="2946"/>
        <w:gridCol w:w="2946"/>
      </w:tblGrid>
      <w:tr>
        <w:tc>
          <w:tcPr>
            <w:tcW w:type="dxa" w:w="2268"/>
            <w:shd w:val="clear" w:color="auto" w:fill="2563EB"/>
            <w:vAlign w:val="center"/>
          </w:tcPr>
          <w:p>
            <w:pPr>
              <w:jc w:val="center"/>
            </w:pPr>
            <w:r>
              <w:rPr>
                <w:rFonts w:ascii="Times New Roman" w:hAnsi="Times New Roman"/>
                <w:b/>
                <w:i w:val="0"/>
                <w:color w:val="FFFFFF"/>
                <w:sz w:val="22"/>
              </w:rPr>
              <w:t>Feature Module</w:t>
            </w:r>
          </w:p>
        </w:tc>
        <w:tc>
          <w:tcPr>
            <w:tcW w:type="dxa" w:w="1984"/>
            <w:shd w:val="clear" w:color="auto" w:fill="2563EB"/>
            <w:vAlign w:val="center"/>
          </w:tcPr>
          <w:p>
            <w:pPr>
              <w:jc w:val="center"/>
            </w:pPr>
            <w:r>
              <w:rPr>
                <w:rFonts w:ascii="Times New Roman" w:hAnsi="Times New Roman"/>
                <w:b/>
                <w:i w:val="0"/>
                <w:color w:val="FFFFFF"/>
                <w:sz w:val="22"/>
              </w:rPr>
              <w:t>Category</w:t>
            </w:r>
          </w:p>
        </w:tc>
        <w:tc>
          <w:tcPr>
            <w:tcW w:type="dxa" w:w="4535"/>
            <w:shd w:val="clear" w:color="auto" w:fill="2563EB"/>
            <w:vAlign w:val="center"/>
          </w:tcPr>
          <w:p>
            <w:pPr>
              <w:jc w:val="center"/>
            </w:pPr>
            <w:r>
              <w:rPr>
                <w:rFonts w:ascii="Times New Roman" w:hAnsi="Times New Roman"/>
                <w:b/>
                <w:i w:val="0"/>
                <w:color w:val="FFFFFF"/>
                <w:sz w:val="22"/>
              </w:rPr>
              <w:t>Key User Story</w:t>
            </w:r>
          </w:p>
        </w:tc>
      </w:tr>
      <w:tr>
        <w:tc>
          <w:tcPr>
            <w:tcW w:type="dxa" w:w="2268"/>
            <w:vAlign w:val="center"/>
          </w:tcPr>
          <w:p>
            <w:r>
              <w:rPr>
                <w:rFonts w:ascii="Times New Roman" w:hAnsi="Times New Roman"/>
                <w:b w:val="0"/>
                <w:i w:val="0"/>
                <w:sz w:val="21"/>
              </w:rPr>
              <w:t>3D Building Viewer</w:t>
            </w:r>
          </w:p>
        </w:tc>
        <w:tc>
          <w:tcPr>
            <w:tcW w:type="dxa" w:w="1984"/>
            <w:vAlign w:val="center"/>
          </w:tcPr>
          <w:p>
            <w:r>
              <w:rPr>
                <w:rFonts w:ascii="Times New Roman" w:hAnsi="Times New Roman"/>
                <w:b w:val="0"/>
                <w:i w:val="0"/>
                <w:sz w:val="21"/>
              </w:rPr>
              <w:t>Spatial Understanding</w:t>
            </w:r>
          </w:p>
        </w:tc>
        <w:tc>
          <w:tcPr>
            <w:tcW w:type="dxa" w:w="4535"/>
            <w:vAlign w:val="center"/>
          </w:tcPr>
          <w:p>
            <w:r>
              <w:rPr>
                <w:rFonts w:ascii="Times New Roman" w:hAnsi="Times New Roman"/>
                <w:b w:val="0"/>
                <w:i w:val="0"/>
                <w:sz w:val="21"/>
              </w:rPr>
              <w:t>Navigate the building model to understand spatial layout and locate specific areas or systems.</w:t>
            </w:r>
          </w:p>
        </w:tc>
      </w:tr>
      <w:tr>
        <w:tc>
          <w:tcPr>
            <w:tcW w:type="dxa" w:w="2268"/>
            <w:shd w:val="clear" w:color="auto" w:fill="F0F4FF"/>
            <w:vAlign w:val="center"/>
          </w:tcPr>
          <w:p>
            <w:r>
              <w:rPr>
                <w:rFonts w:ascii="Times New Roman" w:hAnsi="Times New Roman"/>
                <w:b w:val="0"/>
                <w:i w:val="0"/>
                <w:sz w:val="21"/>
              </w:rPr>
              <w:t>Energy Monitoring</w:t>
            </w:r>
          </w:p>
        </w:tc>
        <w:tc>
          <w:tcPr>
            <w:tcW w:type="dxa" w:w="1984"/>
            <w:shd w:val="clear" w:color="auto" w:fill="F0F4FF"/>
            <w:vAlign w:val="center"/>
          </w:tcPr>
          <w:p>
            <w:r>
              <w:rPr>
                <w:rFonts w:ascii="Times New Roman" w:hAnsi="Times New Roman"/>
                <w:b w:val="0"/>
                <w:i w:val="0"/>
                <w:sz w:val="21"/>
              </w:rPr>
              <w:t>Operational Data</w:t>
            </w:r>
          </w:p>
        </w:tc>
        <w:tc>
          <w:tcPr>
            <w:tcW w:type="dxa" w:w="4535"/>
            <w:shd w:val="clear" w:color="auto" w:fill="F0F4FF"/>
            <w:vAlign w:val="center"/>
          </w:tcPr>
          <w:p>
            <w:r>
              <w:rPr>
                <w:rFonts w:ascii="Times New Roman" w:hAnsi="Times New Roman"/>
                <w:b w:val="0"/>
                <w:i w:val="0"/>
                <w:sz w:val="21"/>
              </w:rPr>
              <w:t>Inspect circuit-level power demand and identify consumption patterns in real time or through replay.</w:t>
            </w:r>
          </w:p>
        </w:tc>
      </w:tr>
      <w:tr>
        <w:tc>
          <w:tcPr>
            <w:tcW w:type="dxa" w:w="2268"/>
            <w:vAlign w:val="center"/>
          </w:tcPr>
          <w:p>
            <w:r>
              <w:rPr>
                <w:rFonts w:ascii="Times New Roman" w:hAnsi="Times New Roman"/>
                <w:b w:val="0"/>
                <w:i w:val="0"/>
                <w:sz w:val="21"/>
              </w:rPr>
              <w:t>Solar &amp; Battery</w:t>
            </w:r>
          </w:p>
        </w:tc>
        <w:tc>
          <w:tcPr>
            <w:tcW w:type="dxa" w:w="1984"/>
            <w:vAlign w:val="center"/>
          </w:tcPr>
          <w:p>
            <w:r>
              <w:rPr>
                <w:rFonts w:ascii="Times New Roman" w:hAnsi="Times New Roman"/>
                <w:b w:val="0"/>
                <w:i w:val="0"/>
                <w:sz w:val="21"/>
              </w:rPr>
              <w:t>Energy Generation</w:t>
            </w:r>
          </w:p>
        </w:tc>
        <w:tc>
          <w:tcPr>
            <w:tcW w:type="dxa" w:w="4535"/>
            <w:vAlign w:val="center"/>
          </w:tcPr>
          <w:p>
            <w:r>
              <w:rPr>
                <w:rFonts w:ascii="Times New Roman" w:hAnsi="Times New Roman"/>
                <w:b w:val="0"/>
                <w:i w:val="0"/>
                <w:sz w:val="21"/>
              </w:rPr>
              <w:t>Track solar panel output and battery storage state to understand renewable energy contribution.</w:t>
            </w:r>
          </w:p>
        </w:tc>
      </w:tr>
      <w:tr>
        <w:tc>
          <w:tcPr>
            <w:tcW w:type="dxa" w:w="2268"/>
            <w:shd w:val="clear" w:color="auto" w:fill="F0F4FF"/>
            <w:vAlign w:val="center"/>
          </w:tcPr>
          <w:p>
            <w:r>
              <w:rPr>
                <w:rFonts w:ascii="Times New Roman" w:hAnsi="Times New Roman"/>
                <w:b w:val="0"/>
                <w:i w:val="0"/>
                <w:sz w:val="21"/>
              </w:rPr>
              <w:t>Room Air Quality (IAQ)</w:t>
            </w:r>
          </w:p>
        </w:tc>
        <w:tc>
          <w:tcPr>
            <w:tcW w:type="dxa" w:w="1984"/>
            <w:shd w:val="clear" w:color="auto" w:fill="F0F4FF"/>
            <w:vAlign w:val="center"/>
          </w:tcPr>
          <w:p>
            <w:r>
              <w:rPr>
                <w:rFonts w:ascii="Times New Roman" w:hAnsi="Times New Roman"/>
                <w:b w:val="0"/>
                <w:i w:val="0"/>
                <w:sz w:val="21"/>
              </w:rPr>
              <w:t>Operational Data</w:t>
            </w:r>
          </w:p>
        </w:tc>
        <w:tc>
          <w:tcPr>
            <w:tcW w:type="dxa" w:w="4535"/>
            <w:shd w:val="clear" w:color="auto" w:fill="F0F4FF"/>
            <w:vAlign w:val="center"/>
          </w:tcPr>
          <w:p>
            <w:r>
              <w:rPr>
                <w:rFonts w:ascii="Times New Roman" w:hAnsi="Times New Roman"/>
                <w:b w:val="0"/>
                <w:i w:val="0"/>
                <w:sz w:val="21"/>
              </w:rPr>
              <w:t>Review temperature, humidity, and CO₂ levels by room to assess occupant comfort and wellbeing.</w:t>
            </w:r>
          </w:p>
        </w:tc>
      </w:tr>
      <w:tr>
        <w:tc>
          <w:tcPr>
            <w:tcW w:type="dxa" w:w="2268"/>
            <w:vAlign w:val="center"/>
          </w:tcPr>
          <w:p>
            <w:r>
              <w:rPr>
                <w:rFonts w:ascii="Times New Roman" w:hAnsi="Times New Roman"/>
                <w:b w:val="0"/>
                <w:i w:val="0"/>
                <w:sz w:val="21"/>
              </w:rPr>
              <w:t>Fault Detection</w:t>
            </w:r>
          </w:p>
        </w:tc>
        <w:tc>
          <w:tcPr>
            <w:tcW w:type="dxa" w:w="1984"/>
            <w:vAlign w:val="center"/>
          </w:tcPr>
          <w:p>
            <w:r>
              <w:rPr>
                <w:rFonts w:ascii="Times New Roman" w:hAnsi="Times New Roman"/>
                <w:b w:val="0"/>
                <w:i w:val="0"/>
                <w:sz w:val="21"/>
              </w:rPr>
              <w:t>Operational Data</w:t>
            </w:r>
          </w:p>
        </w:tc>
        <w:tc>
          <w:tcPr>
            <w:tcW w:type="dxa" w:w="4535"/>
            <w:vAlign w:val="center"/>
          </w:tcPr>
          <w:p>
            <w:r>
              <w:rPr>
                <w:rFonts w:ascii="Times New Roman" w:hAnsi="Times New Roman"/>
                <w:b w:val="0"/>
                <w:i w:val="0"/>
                <w:sz w:val="21"/>
              </w:rPr>
              <w:t>Receive automatic alerts for equipment faults with likely causes and recommended corrective actions.</w:t>
            </w:r>
          </w:p>
        </w:tc>
      </w:tr>
      <w:tr>
        <w:tc>
          <w:tcPr>
            <w:tcW w:type="dxa" w:w="2268"/>
            <w:shd w:val="clear" w:color="auto" w:fill="F0F4FF"/>
            <w:vAlign w:val="center"/>
          </w:tcPr>
          <w:p>
            <w:r>
              <w:rPr>
                <w:rFonts w:ascii="Times New Roman" w:hAnsi="Times New Roman"/>
                <w:b w:val="0"/>
                <w:i w:val="0"/>
                <w:sz w:val="21"/>
              </w:rPr>
              <w:t>Scenarios</w:t>
            </w:r>
          </w:p>
        </w:tc>
        <w:tc>
          <w:tcPr>
            <w:tcW w:type="dxa" w:w="1984"/>
            <w:shd w:val="clear" w:color="auto" w:fill="F0F4FF"/>
            <w:vAlign w:val="center"/>
          </w:tcPr>
          <w:p>
            <w:r>
              <w:rPr>
                <w:rFonts w:ascii="Times New Roman" w:hAnsi="Times New Roman"/>
                <w:b w:val="0"/>
                <w:i w:val="0"/>
                <w:sz w:val="21"/>
              </w:rPr>
              <w:t>Planning &amp; Decision Support</w:t>
            </w:r>
          </w:p>
        </w:tc>
        <w:tc>
          <w:tcPr>
            <w:tcW w:type="dxa" w:w="4535"/>
            <w:shd w:val="clear" w:color="auto" w:fill="F0F4FF"/>
            <w:vAlign w:val="center"/>
          </w:tcPr>
          <w:p>
            <w:r>
              <w:rPr>
                <w:rFonts w:ascii="Times New Roman" w:hAnsi="Times New Roman"/>
                <w:b w:val="0"/>
                <w:i w:val="0"/>
                <w:sz w:val="21"/>
              </w:rPr>
              <w:t>Model the energy impact of proposed changes (e.g., equipment replacement, scheduling adjustments).</w:t>
            </w:r>
          </w:p>
        </w:tc>
      </w:tr>
      <w:tr>
        <w:tc>
          <w:tcPr>
            <w:tcW w:type="dxa" w:w="2268"/>
            <w:vAlign w:val="center"/>
          </w:tcPr>
          <w:p>
            <w:r>
              <w:rPr>
                <w:rFonts w:ascii="Times New Roman" w:hAnsi="Times New Roman"/>
                <w:b w:val="0"/>
                <w:i w:val="0"/>
                <w:sz w:val="21"/>
              </w:rPr>
              <w:t>Forecast</w:t>
            </w:r>
          </w:p>
        </w:tc>
        <w:tc>
          <w:tcPr>
            <w:tcW w:type="dxa" w:w="1984"/>
            <w:vAlign w:val="center"/>
          </w:tcPr>
          <w:p>
            <w:r>
              <w:rPr>
                <w:rFonts w:ascii="Times New Roman" w:hAnsi="Times New Roman"/>
                <w:b w:val="0"/>
                <w:i w:val="0"/>
                <w:sz w:val="21"/>
              </w:rPr>
              <w:t>Planning &amp; Decision Support</w:t>
            </w:r>
          </w:p>
        </w:tc>
        <w:tc>
          <w:tcPr>
            <w:tcW w:type="dxa" w:w="4535"/>
            <w:vAlign w:val="center"/>
          </w:tcPr>
          <w:p>
            <w:r>
              <w:rPr>
                <w:rFonts w:ascii="Times New Roman" w:hAnsi="Times New Roman"/>
                <w:b w:val="0"/>
                <w:i w:val="0"/>
                <w:sz w:val="21"/>
              </w:rPr>
              <w:t>View seven-day predictions for energy consumption and cost to support operational planning.</w:t>
            </w:r>
          </w:p>
        </w:tc>
      </w:tr>
      <w:tr>
        <w:tc>
          <w:tcPr>
            <w:tcW w:type="dxa" w:w="2268"/>
            <w:shd w:val="clear" w:color="auto" w:fill="F0F4FF"/>
            <w:vAlign w:val="center"/>
          </w:tcPr>
          <w:p>
            <w:r>
              <w:rPr>
                <w:rFonts w:ascii="Times New Roman" w:hAnsi="Times New Roman"/>
                <w:b w:val="0"/>
                <w:i w:val="0"/>
                <w:sz w:val="21"/>
              </w:rPr>
              <w:t>Role-Specific Dashboard</w:t>
            </w:r>
          </w:p>
        </w:tc>
        <w:tc>
          <w:tcPr>
            <w:tcW w:type="dxa" w:w="1984"/>
            <w:shd w:val="clear" w:color="auto" w:fill="F0F4FF"/>
            <w:vAlign w:val="center"/>
          </w:tcPr>
          <w:p>
            <w:r>
              <w:rPr>
                <w:rFonts w:ascii="Times New Roman" w:hAnsi="Times New Roman"/>
                <w:b w:val="0"/>
                <w:i w:val="0"/>
                <w:sz w:val="21"/>
              </w:rPr>
              <w:t>Personalisation</w:t>
            </w:r>
          </w:p>
        </w:tc>
        <w:tc>
          <w:tcPr>
            <w:tcW w:type="dxa" w:w="4535"/>
            <w:shd w:val="clear" w:color="auto" w:fill="F0F4FF"/>
            <w:vAlign w:val="center"/>
          </w:tcPr>
          <w:p>
            <w:r>
              <w:rPr>
                <w:rFonts w:ascii="Times New Roman" w:hAnsi="Times New Roman"/>
                <w:b w:val="0"/>
                <w:i w:val="0"/>
                <w:sz w:val="21"/>
              </w:rPr>
              <w:t>Access a curated view of the metrics most relevant to the user's declared role and responsibilities.</w:t>
            </w:r>
          </w:p>
        </w:tc>
      </w:tr>
    </w:tbl>
    <w:p/>
    <w:p>
      <w:pPr>
        <w:spacing w:before="40" w:after="200" w:line="320" w:lineRule="exact"/>
        <w:jc w:val="center"/>
      </w:pPr>
      <w:r>
        <w:rPr>
          <w:rFonts w:ascii="Times New Roman" w:hAnsi="Times New Roman"/>
          <w:b w:val="0"/>
          <w:i/>
          <w:sz w:val="20"/>
        </w:rPr>
        <w:t>Table 5.4. Feature modules, functional categories, and key user stories.</w:t>
      </w:r>
    </w:p>
    <w:p>
      <w:pPr>
        <w:spacing w:before="0" w:after="120" w:line="440" w:lineRule="exact"/>
        <w:ind w:firstLine="709"/>
        <w:jc w:val="both"/>
      </w:pPr>
      <w:r>
        <w:rPr>
          <w:rFonts w:ascii="Times New Roman" w:hAnsi="Times New Roman"/>
          <w:b w:val="0"/>
          <w:i w:val="0"/>
          <w:sz w:val="24"/>
        </w:rPr>
        <w:t>Each feature was rated on a five-point scale, with the scale endpoints labelled as 1 = not useful and 5 = very useful. This formulation intentionally captured perceived utility rather than perceived ease of use, reflecting the evaluation's emphasis on whether the platform's analytical outputs supported informed decision-making, not solely whether the interface was navigable. Ease-of-use evidence was captured separately through the task completion outcomes in Stage 4.</w:t>
      </w:r>
    </w:p>
    <w:p>
      <w:pPr>
        <w:spacing w:before="480" w:after="240"/>
      </w:pPr>
      <w:r>
        <w:rPr>
          <w:rFonts w:ascii="Times New Roman" w:hAnsi="Times New Roman"/>
          <w:b/>
          <w:i w:val="0"/>
          <w:sz w:val="32"/>
        </w:rPr>
        <w:t>5.8  Data Collection and Storage Infrastructure</w:t>
      </w:r>
    </w:p>
    <w:p>
      <w:pPr>
        <w:spacing w:before="0" w:after="120" w:line="440" w:lineRule="exact"/>
        <w:ind w:firstLine="709"/>
        <w:jc w:val="both"/>
      </w:pPr>
      <w:r>
        <w:rPr>
          <w:rFonts w:ascii="Times New Roman" w:hAnsi="Times New Roman"/>
          <w:b w:val="0"/>
          <w:i w:val="0"/>
          <w:sz w:val="24"/>
        </w:rPr>
        <w:t>Survey responses were collected and persisted via a serverless backend architecture. On submission of each stage's data, a JavaScript fetch call from the client transmitted a structured JSON payload to a Netlify Functions endpoint (/.netlify/functions/save-response). The serverless function authenticated to the Supabase database using a service-role key stored as a Netlify environment variable — never exposed to the client — and issued a PostgreSQL upsert against the survey_responses table, using the session's started_at timestamp as the conflict resolution key. This upsert mechanism ensured that the initial response record and the subsequent AI-summary update were stored as a single cohesive row rather than duplicate entries.</w:t>
      </w:r>
    </w:p>
    <w:p>
      <w:pPr>
        <w:spacing w:before="0" w:after="120" w:line="440" w:lineRule="exact"/>
        <w:ind w:firstLine="709"/>
        <w:jc w:val="both"/>
      </w:pPr>
      <w:r>
        <w:rPr>
          <w:rFonts w:ascii="Times New Roman" w:hAnsi="Times New Roman"/>
          <w:b w:val="0"/>
          <w:i w:val="0"/>
          <w:sz w:val="24"/>
        </w:rPr>
        <w:t>The database schema comprised a single survey_responses table with columns capturing all quantitative and qualitative response fields, together with temporal metadata (started_at, created_at) enabling the calculation of session duration. Row-level security was enabled on the table with a restrictive policy preventing direct public access; all read and write operations were mediated exclusively by the authenticated serverless functions. The admin dashboard accessed response data through a separate Netlify Functions endpoint (/.netlify/functions/list-responses), ensuring that the service-role key was never accessible from the browser.</w:t>
      </w:r>
    </w:p>
    <w:p>
      <w:pPr>
        <w:spacing w:before="0" w:after="120" w:line="440" w:lineRule="exact"/>
        <w:ind w:firstLine="709"/>
        <w:jc w:val="both"/>
      </w:pPr>
      <w:r>
        <w:rPr>
          <w:rFonts w:ascii="Times New Roman" w:hAnsi="Times New Roman"/>
          <w:b w:val="0"/>
          <w:i w:val="0"/>
          <w:sz w:val="24"/>
        </w:rPr>
        <w:t>An interaction evidence score was computed algorithmically for each response in the admin dashboard, based on seven binary signals: whether all three tasks were answered; whether at least two tasks were completed easily; whether all eight feature ratings were provided; whether at least one substantial written comment was left; whether the AI decision-support question was answered; whether an overall rating was given; and whether a measurable session duration existed. The score, expressed as a percentage of signals achieved, served as an indicator of response quality and depth of platform engagement for use during data analysis.</w:t>
      </w:r>
    </w:p>
    <w:p>
      <w:pPr>
        <w:spacing w:before="480" w:after="240"/>
      </w:pPr>
      <w:r>
        <w:rPr>
          <w:rFonts w:ascii="Times New Roman" w:hAnsi="Times New Roman"/>
          <w:b/>
          <w:i w:val="0"/>
          <w:sz w:val="32"/>
        </w:rPr>
        <w:t>5.9  Ethical Considerations</w:t>
      </w:r>
    </w:p>
    <w:p>
      <w:pPr>
        <w:spacing w:before="0" w:after="120" w:line="440" w:lineRule="exact"/>
        <w:ind w:firstLine="709"/>
        <w:jc w:val="both"/>
      </w:pPr>
      <w:r>
        <w:rPr>
          <w:rFonts w:ascii="Times New Roman" w:hAnsi="Times New Roman"/>
          <w:b w:val="0"/>
          <w:i w:val="0"/>
          <w:sz w:val="24"/>
        </w:rPr>
        <w:t>The study was designed in accordance with the ethical requirements of the University of Twente and the principles of research integrity. Participation was entirely voluntary: the consent stage clearly communicated that participants could withdraw at any stage without consequence, and that the data from any withdrawn participant would not be used in analysis. Responses were anonymised by default — no participant was required to provide their name, email address, or any other personally identifying information. The optional name and email fields in Stage 6 were explicitly labelled as optional and were included solely to facilitate researcher follow-up if the participant chose to initiate contact.</w:t>
      </w:r>
    </w:p>
    <w:p>
      <w:pPr>
        <w:spacing w:before="0" w:after="120" w:line="440" w:lineRule="exact"/>
        <w:ind w:firstLine="709"/>
        <w:jc w:val="both"/>
      </w:pPr>
      <w:r>
        <w:rPr>
          <w:rFonts w:ascii="Times New Roman" w:hAnsi="Times New Roman"/>
          <w:b w:val="0"/>
          <w:i w:val="0"/>
          <w:sz w:val="24"/>
        </w:rPr>
        <w:t>Data was stored on secure cloud infrastructure (Supabase) with access restricted to the researcher and academic supervisors via role-based key authentication. No data was shared with third parties. The AI summary generation involved transmission of response data to the OpenAI API; this was disclosed implicitly through the survey's explanation of the AI summary feature, and only anonymised, non-identifying response content was transmitted. No sensitive personal data — as defined under the General Data Protection Regulation — was collected or processed.</w:t>
      </w:r>
    </w:p>
    <w:p>
      <w:pPr>
        <w:spacing w:before="0" w:after="120" w:line="440" w:lineRule="exact"/>
        <w:ind w:firstLine="709"/>
        <w:jc w:val="both"/>
      </w:pPr>
      <w:r>
        <w:rPr>
          <w:rFonts w:ascii="Times New Roman" w:hAnsi="Times New Roman"/>
          <w:b w:val="0"/>
          <w:i w:val="0"/>
          <w:sz w:val="24"/>
        </w:rPr>
        <w:t>Participants were 18 years of age or older by confirmation at the consent stage. The study posed no known risks to participants, and participation offered no direct personal benefit beyond the intrinsic satisfaction of contributing to research aimed at improving smart building management tools. The participant information sheet and consent form were reviewed and approved as part of the thesis supervision process at the University of Twente.</w:t>
      </w:r>
    </w:p>
    <w:p>
      <w:pPr>
        <w:spacing w:before="480" w:after="240"/>
      </w:pPr>
      <w:r>
        <w:rPr>
          <w:rFonts w:ascii="Times New Roman" w:hAnsi="Times New Roman"/>
          <w:b/>
          <w:i w:val="0"/>
          <w:sz w:val="32"/>
        </w:rPr>
        <w:t>5.10  Chapter Summary</w:t>
      </w:r>
    </w:p>
    <w:p>
      <w:pPr>
        <w:spacing w:before="0" w:after="120" w:line="440" w:lineRule="exact"/>
        <w:ind w:firstLine="709"/>
        <w:jc w:val="both"/>
      </w:pPr>
      <w:r>
        <w:rPr>
          <w:rFonts w:ascii="Times New Roman" w:hAnsi="Times New Roman"/>
          <w:b w:val="0"/>
          <w:i w:val="0"/>
          <w:sz w:val="24"/>
        </w:rPr>
        <w:t>This chapter has described the design, rationale, and execution of a structured usability evaluation of the Energy Digital Twin platform developed for the GATE Institute. The evaluation employed a mixed-methods, task-based approach delivered through a purpose-built browser survey instrument. Seven survey stages collected informed consent, participant stratification data, task performance evidence, quantitative feature ratings, and qualitative open feedback from a purposively recruited sample of building stakeholders spanning six professional archetypes.</w:t>
      </w:r>
    </w:p>
    <w:p>
      <w:pPr>
        <w:spacing w:before="0" w:after="120" w:line="440" w:lineRule="exact"/>
        <w:ind w:firstLine="709"/>
        <w:jc w:val="both"/>
      </w:pPr>
      <w:r>
        <w:rPr>
          <w:rFonts w:ascii="Times New Roman" w:hAnsi="Times New Roman"/>
          <w:b w:val="0"/>
          <w:i w:val="0"/>
          <w:sz w:val="24"/>
        </w:rPr>
        <w:t>The evaluation was designed to generate both summative validation evidence — demonstrating whether the platform meets its core usability requirements — and formative diagnostic evidence to inform iterative improvement. An AI-assisted summarisation component provided immediate participant-level recaps stored alongside the full response record. A secure, serverless data infrastructure ensured that all response data was persistently and reliably stored throughout the data collection period.</w:t>
      </w:r>
    </w:p>
    <w:p>
      <w:pPr>
        <w:spacing w:before="0" w:after="120" w:line="440" w:lineRule="exact"/>
        <w:ind w:firstLine="709"/>
        <w:jc w:val="both"/>
      </w:pPr>
      <w:r>
        <w:rPr>
          <w:rFonts w:ascii="Times New Roman" w:hAnsi="Times New Roman"/>
          <w:b w:val="0"/>
          <w:i w:val="0"/>
          <w:sz w:val="24"/>
        </w:rPr>
        <w:t>The findings of the evaluation — including quantitative feature rating distributions, task completion rates, adoption intent, and thematic analysis of qualitative feedback — are presented and interpreted in Chapter 6.</w:t>
      </w:r>
    </w:p>
    <w:p>
      <w:pPr>
        <w:spacing w:before="0" w:after="0" w:line="120" w:lineRule="exact"/>
      </w:pPr>
    </w:p>
    <w:p>
      <w:pPr>
        <w:spacing w:before="0" w:after="0" w:line="120" w:lineRule="exact"/>
      </w:pPr>
    </w:p>
    <w:p>
      <w:pPr>
        <w:spacing w:before="480" w:after="240"/>
      </w:pPr>
      <w:r>
        <w:rPr>
          <w:rFonts w:ascii="Times New Roman" w:hAnsi="Times New Roman"/>
          <w:b/>
          <w:i w:val="0"/>
          <w:sz w:val="32"/>
        </w:rPr>
        <w:t>References</w:t>
      </w:r>
    </w:p>
    <w:p>
      <w:pPr>
        <w:spacing w:before="40" w:after="80" w:line="360" w:lineRule="exact"/>
        <w:ind w:hanging="709" w:left="709"/>
        <w:jc w:val="both"/>
      </w:pPr>
      <w:r>
        <w:rPr>
          <w:rFonts w:ascii="Times New Roman" w:hAnsi="Times New Roman"/>
          <w:b w:val="0"/>
          <w:i w:val="0"/>
          <w:sz w:val="22"/>
        </w:rPr>
        <w:t>International Organization for Standardization. (2018). ISO 9241-11:2018 Ergonomics of human-system interaction — Part 11: Usability: Definitions and concepts. ISO.</w:t>
      </w:r>
    </w:p>
    <w:p>
      <w:pPr>
        <w:spacing w:before="40" w:after="80" w:line="360" w:lineRule="exact"/>
        <w:ind w:hanging="709" w:left="709"/>
        <w:jc w:val="both"/>
      </w:pPr>
      <w:r>
        <w:rPr>
          <w:rFonts w:ascii="Times New Roman" w:hAnsi="Times New Roman"/>
          <w:b w:val="0"/>
          <w:i w:val="0"/>
          <w:sz w:val="22"/>
        </w:rPr>
        <w:t>Nielsen, J. (1994). Usability Engineering. Morgan Kaufmann.</w:t>
      </w:r>
    </w:p>
    <w:p>
      <w:pPr>
        <w:spacing w:before="40" w:after="80" w:line="360" w:lineRule="exact"/>
        <w:ind w:hanging="709" w:left="709"/>
        <w:jc w:val="both"/>
      </w:pPr>
      <w:r>
        <w:rPr>
          <w:rFonts w:ascii="Times New Roman" w:hAnsi="Times New Roman"/>
          <w:b w:val="0"/>
          <w:i w:val="0"/>
          <w:sz w:val="22"/>
        </w:rPr>
        <w:t>Rubin, J., &amp; Chisnell, D. (2008). Handbook of Usability Testing: How to Plan, Design, and Conduct Effective Tests (2nd ed.). Wiley.</w:t>
      </w:r>
    </w:p>
    <w:p>
      <w:pPr>
        <w:spacing w:before="40" w:after="80" w:line="360" w:lineRule="exact"/>
        <w:ind w:hanging="709" w:left="709"/>
        <w:jc w:val="both"/>
      </w:pPr>
      <w:r>
        <w:rPr>
          <w:rFonts w:ascii="Times New Roman" w:hAnsi="Times New Roman"/>
          <w:b w:val="0"/>
          <w:i w:val="0"/>
          <w:sz w:val="22"/>
        </w:rPr>
        <w:t>Vermesan, O., &amp; Friess, P. (Eds.). (2014). Internet of Things — From Research and Innovation to Market Deployment. River Publishers.</w:t>
      </w:r>
    </w:p>
    <w:p>
      <w:pPr>
        <w:spacing w:before="40" w:after="80" w:line="360" w:lineRule="exact"/>
        <w:ind w:hanging="709" w:left="709"/>
        <w:jc w:val="both"/>
      </w:pPr>
      <w:r>
        <w:rPr>
          <w:rFonts w:ascii="Times New Roman" w:hAnsi="Times New Roman"/>
          <w:b w:val="0"/>
          <w:i w:val="0"/>
          <w:sz w:val="22"/>
        </w:rPr>
        <w:t>Pérez-Lombard, L., Ortiz, J., &amp; Pout, C. (2008). A review on buildings energy consumption information. Energy and Buildings, 40(3), 394–398.</w:t>
      </w:r>
    </w:p>
    <w:sectPr w:rsidR="00FC693F" w:rsidRPr="0006063C" w:rsidSect="00034616">
      <w:pgSz w:w="12240" w:h="15840"/>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