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  <w:jc w:val="left"/>
      </w:pPr>
      <w:r>
        <w:rPr>
          <w:b/>
          <w:sz w:val="32"/>
        </w:rPr>
        <w:t>Fintech Core Gateway Hardware Specification</w:t>
      </w:r>
    </w:p>
    <w:p>
      <w:r>
        <w:rPr>
          <w:i/>
          <w:color w:val="555555"/>
        </w:rPr>
        <w:t>Company: SecurePay Global Services</w:t>
      </w:r>
    </w:p>
    <w:p>
      <w:r>
        <w:t>Please review our technical infrastructure requirements below and quote the appropriate Site24x7 monitoring plan tiers and add-on packs.</w:t>
      </w:r>
    </w:p>
    <w:p>
      <w:pPr>
        <w:b/>
      </w:pPr>
      <w:r>
        <w:rPr>
          <w:b/>
          <w:sz w:val="24"/>
        </w:rPr>
        <w:t>Host Server Fleet</w:t>
      </w:r>
    </w:p>
    <w:p>
      <w:pPr>
        <w:ind w:left="360"/>
      </w:pPr>
      <w:r>
        <w:t>• 50 Payment Processing Application Hosts</w:t>
      </w:r>
    </w:p>
    <w:p>
      <w:pPr>
        <w:ind w:left="360"/>
      </w:pPr>
      <w:r>
        <w:t>• Total Host Server Requirement: 50 Servers</w:t>
      </w:r>
    </w:p>
    <w:p>
      <w:pPr>
        <w:b/>
      </w:pPr>
      <w:r>
        <w:rPr>
          <w:b/>
          <w:sz w:val="24"/>
        </w:rPr>
        <w:t>Switching &amp; Routing Hardware</w:t>
      </w:r>
    </w:p>
    <w:p>
      <w:pPr>
        <w:ind w:left="360"/>
      </w:pPr>
      <w:r>
        <w:t>• 10 PCI-Compliant Hardware Firewalls and Core Switches</w:t>
      </w:r>
    </w:p>
    <w:p>
      <w:pPr>
        <w:ind w:left="360"/>
      </w:pPr>
      <w:r>
        <w:t>• Total Network Components: 10 Devices</w:t>
      </w:r>
    </w:p>
    <w:p>
      <w:pPr>
        <w:b/>
      </w:pPr>
      <w:r>
        <w:rPr>
          <w:b/>
          <w:sz w:val="24"/>
        </w:rPr>
        <w:t>Payment APIs &amp; Synthetic Journeys</w:t>
      </w:r>
    </w:p>
    <w:p>
      <w:pPr>
        <w:ind w:left="360"/>
      </w:pPr>
      <w:r>
        <w:t>• 6 Payment Gateway Public Endpoints (Basic Monitors)</w:t>
      </w:r>
    </w:p>
    <w:p>
      <w:pPr>
        <w:ind w:left="360"/>
      </w:pPr>
      <w:r>
        <w:t>• 3 Multi-Step Checkout Synthetic Monitors (Advanced Monitors)</w:t>
      </w:r>
    </w:p>
    <w:p>
      <w:pPr>
        <w:b/>
      </w:pPr>
      <w:r>
        <w:rPr>
          <w:b/>
          <w:sz w:val="24"/>
        </w:rPr>
        <w:t>Audit Logs &amp; RUM</w:t>
      </w:r>
    </w:p>
    <w:p>
      <w:pPr>
        <w:ind w:left="360"/>
      </w:pPr>
      <w:r>
        <w:t>• PCI Audit Trail Log Volume: 400 GB logs monthly</w:t>
      </w:r>
    </w:p>
    <w:p>
      <w:pPr>
        <w:ind w:left="360"/>
      </w:pPr>
      <w:r>
        <w:t>• RUM Pageview Volume: 2,000,000 pageviews per month</w:t>
      </w:r>
    </w:p>
  </w:body>
</w:document>
</file>