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4"/>
        </w:rPr>
        <w:t>Resolución Automática de KenKen Mediante Visión por Computador y Programación por Restricciones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2"/>
        </w:rPr>
        <w:t>Joaquín Basas, Joaquín Alvarado, Johan Quispe</w:t>
      </w:r>
    </w:p>
    <w:p>
      <w:pPr>
        <w:spacing w:before="0" w:after="40"/>
        <w:jc w:val="center"/>
      </w:pPr>
      <w:r>
        <w:rPr>
          <w:rFonts w:ascii="Times New Roman" w:hAnsi="Times New Roman"/>
          <w:i/>
          <w:sz w:val="19"/>
        </w:rPr>
        <w:t>Tópicos en Ciencias de la Computación (CC58) — Universidad Peruana de Ciencias Aplicadas (UPC), Lima, Perú</w:t>
      </w:r>
    </w:p>
    <w:p>
      <w:pPr>
        <w:spacing w:before="40" w:after="280"/>
        <w:jc w:val="center"/>
      </w:pPr>
      <w:r>
        <w:rPr>
          <w:rFonts w:ascii="Times New Roman" w:hAnsi="Times New Roman"/>
          <w:b/>
          <w:sz w:val="18"/>
        </w:rPr>
        <w:t xml:space="preserve">Repositorio GitHub: </w:t>
      </w:r>
      <w:r>
        <w:rPr>
          <w:rFonts w:ascii="Times New Roman" w:hAnsi="Times New Roman"/>
          <w:color w:val="003399"/>
          <w:sz w:val="17"/>
          <w:u w:val="single"/>
        </w:rPr>
        <w:t>https://github.com/JoanixX/kenken-vision-cp-solver</w:t>
      </w:r>
      <w:r>
        <w:rPr>
          <w:rFonts w:ascii="Times New Roman" w:hAnsi="Times New Roman"/>
          <w:b/>
          <w:sz w:val="18"/>
        </w:rPr>
        <w:t xml:space="preserve">   |   Demostración en Vivo: </w:t>
      </w:r>
      <w:r>
        <w:rPr>
          <w:rFonts w:ascii="Times New Roman" w:hAnsi="Times New Roman"/>
          <w:color w:val="003399"/>
          <w:sz w:val="17"/>
          <w:u w:val="single"/>
        </w:rPr>
        <w:t>https://huggingface.co/spaces/joako2202/kenken-solver</w:t>
      </w:r>
    </w:p>
    <w:p>
      <w:pPr>
        <w:spacing w:before="80" w:after="80"/>
        <w:ind w:left="576" w:right="576"/>
        <w:jc w:val="both"/>
      </w:pPr>
      <w:r>
        <w:rPr>
          <w:rFonts w:ascii="Times New Roman" w:hAnsi="Times New Roman"/>
          <w:b/>
          <w:i/>
          <w:sz w:val="18"/>
        </w:rPr>
        <w:t>Resumen—</w:t>
      </w:r>
      <w:r>
        <w:rPr>
          <w:rFonts w:ascii="Times New Roman" w:hAnsi="Times New Roman"/>
          <w:b w:val="0"/>
          <w:i w:val="0"/>
          <w:sz w:val="18"/>
        </w:rPr>
        <w:t xml:space="preserve">Este artículo presenta una arquitectura integral neuro-simbólica para la extracción, interpretación y resolución automatizada de acertijos aritmético-lógicos KenKen a partir de imágenes sin procesar. El sistema articula una fase sensorial de visión computacional (rectificación homográfica </w:t>
      </w:r>
      <m:oMath>
        <m:r>
          <m:t>H</m:t>
        </m:r>
      </m:oMath>
      <w:r>
        <w:rPr>
          <w:rFonts w:ascii="Times New Roman" w:hAnsi="Times New Roman"/>
          <w:b w:val="0"/>
          <w:i w:val="0"/>
          <w:sz w:val="18"/>
        </w:rPr>
        <w:t xml:space="preserve">, clasificación de bordes mediante Otsu y </w:t>
      </w:r>
      <w:r>
        <w:rPr>
          <w:rFonts w:ascii="Times New Roman" w:hAnsi="Times New Roman"/>
          <w:b w:val="0"/>
          <w:i/>
          <w:sz w:val="18"/>
        </w:rPr>
        <w:t>Union-Find</w:t>
      </w:r>
      <w:r>
        <w:rPr>
          <w:rFonts w:ascii="Times New Roman" w:hAnsi="Times New Roman"/>
          <w:b w:val="0"/>
          <w:i w:val="0"/>
          <w:sz w:val="18"/>
        </w:rPr>
        <w:t xml:space="preserve">, binarización adaptativa ante sombras y reconocimiento óptico de caracteres con una red </w:t>
      </w:r>
      <w:r>
        <w:rPr>
          <w:rFonts w:ascii="Consolas" w:hAnsi="Consolas"/>
          <w:b w:val="0"/>
          <w:sz w:val="17"/>
        </w:rPr>
        <w:t>GlyphCNN</w:t>
      </w:r>
      <w:r>
        <w:rPr>
          <w:rFonts w:ascii="Times New Roman" w:hAnsi="Times New Roman"/>
          <w:b w:val="0"/>
          <w:i w:val="0"/>
          <w:sz w:val="18"/>
        </w:rPr>
        <w:t xml:space="preserve"> adaptada mediante </w:t>
      </w:r>
      <w:r>
        <w:rPr>
          <w:rFonts w:ascii="Times New Roman" w:hAnsi="Times New Roman"/>
          <w:b w:val="0"/>
          <w:i/>
          <w:sz w:val="18"/>
        </w:rPr>
        <w:t>Fine-Tuning</w:t>
      </w:r>
      <w:r>
        <w:rPr>
          <w:rFonts w:ascii="Times New Roman" w:hAnsi="Times New Roman"/>
          <w:b w:val="0"/>
          <w:i w:val="0"/>
          <w:sz w:val="18"/>
        </w:rPr>
        <w:t xml:space="preserve"> con </w:t>
      </w:r>
      <w:r>
        <w:rPr>
          <w:rFonts w:ascii="Times New Roman" w:hAnsi="Times New Roman"/>
          <w:b w:val="0"/>
          <w:i/>
          <w:sz w:val="18"/>
        </w:rPr>
        <w:t>Focal Loss</w:t>
      </w:r>
      <w:r>
        <w:rPr>
          <w:rFonts w:ascii="Times New Roman" w:hAnsi="Times New Roman"/>
          <w:b w:val="0"/>
          <w:i w:val="0"/>
          <w:sz w:val="18"/>
        </w:rPr>
        <w:t xml:space="preserve"> y minería de ejemplos difíciles) con un motor de Programación por Restricciones (CP) sustentado en Google OR-Tools CP-SAT. Formulamos el problema rigurosamente como un CSP </w:t>
      </w:r>
      <m:oMath>
        <m:r>
          <m:t>⟨X,D,C⟩</m:t>
        </m:r>
      </m:oMath>
      <w:r>
        <w:rPr>
          <w:rFonts w:ascii="Times New Roman" w:hAnsi="Times New Roman"/>
          <w:b w:val="0"/>
          <w:i w:val="0"/>
          <w:sz w:val="18"/>
        </w:rPr>
        <w:t xml:space="preserve">, contrastando empíricamente: (1) modelado aritmético intensional con descomposición de productos y división reificada, (2) restricciones globales extensionales de tabla con garantía de Consistencia de Arco Generalizada (GAC), y (3) inferencia conjunta neuro-simbólica (MAP) con regularización </w:t>
      </w:r>
      <m:oMath>
        <m:sSub>
          <m:e>
            <m:r>
              <m:t>ℓ</m:t>
            </m:r>
          </m:e>
          <m:sub>
            <m:r>
              <m:t>0</m:t>
            </m:r>
          </m:sub>
        </m:sSub>
      </m:oMath>
      <w:r>
        <w:rPr>
          <w:rFonts w:ascii="Times New Roman" w:hAnsi="Times New Roman"/>
          <w:b w:val="0"/>
          <w:i w:val="0"/>
          <w:sz w:val="18"/>
        </w:rPr>
        <w:t xml:space="preserve"> para recuperación robusta ante fallos de lectura visual sin incurrir en divergencia. Evaluaciones sistemáticas sobre tres corpus (Sintético Normal de 300 imágenes, Sintético Difícil de 150 imágenes y un dataset de estrés de 50 tableros patológicos) demuestran una exactitud por glifo del </w:t>
      </w:r>
      <m:oMath>
        <m:r>
          <m:t>99.51%</m:t>
        </m:r>
      </m:oMath>
      <w:r>
        <w:rPr>
          <w:rFonts w:ascii="Times New Roman" w:hAnsi="Times New Roman"/>
          <w:b w:val="0"/>
          <w:i w:val="0"/>
          <w:sz w:val="18"/>
        </w:rPr>
        <w:t xml:space="preserve"> y una tasa de resolución récord del </w:t>
      </w:r>
      <m:oMath>
        <m:r>
          <m:t>90.33%</m:t>
        </m:r>
      </m:oMath>
      <w:r>
        <w:rPr>
          <w:rFonts w:ascii="Times New Roman" w:hAnsi="Times New Roman"/>
          <w:b w:val="0"/>
          <w:i w:val="0"/>
          <w:sz w:val="18"/>
        </w:rPr>
        <w:t xml:space="preserve"> en imágenes normales. En análisis de complejidad sobre órdenes </w:t>
      </w:r>
      <m:oMath>
        <m:r>
          <m:t>n∈[3,9]</m:t>
        </m:r>
      </m:oMath>
      <w:r>
        <w:rPr>
          <w:rFonts w:ascii="Times New Roman" w:hAnsi="Times New Roman"/>
          <w:b w:val="0"/>
          <w:i w:val="0"/>
          <w:sz w:val="18"/>
        </w:rPr>
        <w:t xml:space="preserve">, el solver resuelve tableros de hasta </w:t>
      </w:r>
      <m:oMath>
        <m:r>
          <m:t>9×9</m:t>
        </m:r>
      </m:oMath>
      <w:r>
        <w:rPr>
          <w:rFonts w:ascii="Times New Roman" w:hAnsi="Times New Roman"/>
          <w:b w:val="0"/>
          <w:i w:val="0"/>
          <w:sz w:val="18"/>
        </w:rPr>
        <w:t xml:space="preserve"> (</w:t>
      </w:r>
      <m:oMath>
        <m:r>
          <m:t>1.96×</m:t>
        </m:r>
        <m:sSup>
          <m:e>
            <m:r>
              <m:t>10</m:t>
            </m:r>
          </m:e>
          <m:sup>
            <m:r>
              <m:t>77</m:t>
            </m:r>
          </m:sup>
        </m:sSup>
      </m:oMath>
      <w:r>
        <w:rPr>
          <w:rFonts w:ascii="Times New Roman" w:hAnsi="Times New Roman"/>
          <w:b w:val="0"/>
          <w:i w:val="0"/>
          <w:sz w:val="18"/>
        </w:rPr>
        <w:t xml:space="preserve"> estados brutos) en menos de </w:t>
      </w:r>
      <m:oMath>
        <m:r>
          <m:t>13</m:t>
        </m:r>
        <m:r>
          <m:rPr>
            <m:nor/>
          </m:rPr>
          <m:t> ms</m:t>
        </m:r>
      </m:oMath>
      <w:r>
        <w:rPr>
          <w:rFonts w:ascii="Times New Roman" w:hAnsi="Times New Roman"/>
          <w:b w:val="0"/>
          <w:i w:val="0"/>
          <w:sz w:val="18"/>
        </w:rPr>
        <w:t xml:space="preserve"> en el nodo raíz con cero ramas de </w:t>
      </w:r>
      <w:r>
        <w:rPr>
          <w:rFonts w:ascii="Times New Roman" w:hAnsi="Times New Roman"/>
          <w:b w:val="0"/>
          <w:i/>
          <w:sz w:val="18"/>
        </w:rPr>
        <w:t>backtracking</w:t>
      </w:r>
      <w:r>
        <w:rPr>
          <w:rFonts w:ascii="Times New Roman" w:hAnsi="Times New Roman"/>
          <w:b w:val="0"/>
          <w:i w:val="0"/>
          <w:sz w:val="18"/>
        </w:rPr>
        <w:t xml:space="preserve">, logrando una reducción del </w:t>
      </w:r>
      <m:oMath>
        <m:r>
          <m:t>39.5%</m:t>
        </m:r>
      </m:oMath>
      <w:r>
        <w:rPr>
          <w:rFonts w:ascii="Times New Roman" w:hAnsi="Times New Roman"/>
          <w:b w:val="0"/>
          <w:i w:val="0"/>
          <w:sz w:val="18"/>
        </w:rPr>
        <w:t xml:space="preserve"> en tiempo de cálculo mediante restricciones de tabla en </w:t>
      </w:r>
      <m:oMath>
        <m:r>
          <m:t>n=9</m:t>
        </m:r>
      </m:oMath>
      <w:r>
        <w:rPr>
          <w:rFonts w:ascii="Times New Roman" w:hAnsi="Times New Roman"/>
          <w:b w:val="0"/>
          <w:i w:val="0"/>
          <w:sz w:val="18"/>
        </w:rPr>
        <w:t>. Finalmente, se implementa una política de clasificación selectiva con opción de rechazo basada en un semáforo de fiabilidad gradual y una interfaz interactiva en Gradio con un catálogo representativo de 21 muestras operacionales.</w:t>
      </w:r>
    </w:p>
    <w:p>
      <w:pPr>
        <w:spacing w:before="40" w:after="280"/>
        <w:ind w:left="576" w:right="576"/>
        <w:jc w:val="both"/>
      </w:pPr>
      <w:r>
        <w:rPr>
          <w:rFonts w:ascii="Times New Roman" w:hAnsi="Times New Roman"/>
          <w:b/>
          <w:i/>
          <w:sz w:val="18"/>
        </w:rPr>
        <w:t>Palabras clave—</w:t>
      </w:r>
      <w:r>
        <w:rPr>
          <w:rFonts w:ascii="Times New Roman" w:hAnsi="Times New Roman"/>
          <w:b w:val="0"/>
          <w:i/>
          <w:sz w:val="18"/>
        </w:rPr>
        <w:t xml:space="preserve">KenKen, visión computacional, GlyphCNN, OCR, programación por restricciones, CP-SAT, inferencia conjunta MAP, restricciones de tabla, GAC, regularización </w:t>
      </w:r>
      <m:oMath>
        <m:sSub>
          <m:e>
            <m:r>
              <m:t>ℓ</m:t>
            </m:r>
          </m:e>
          <m:sub>
            <m:r>
              <m:t>0</m:t>
            </m:r>
          </m:sub>
        </m:sSub>
      </m:oMath>
      <w:r>
        <w:rPr>
          <w:rFonts w:ascii="Times New Roman" w:hAnsi="Times New Roman"/>
          <w:b w:val="0"/>
          <w:i/>
          <w:sz w:val="18"/>
        </w:rPr>
        <w:t>, semáforo de fiabilidad.</w:t>
      </w:r>
    </w:p>
    <w:p>
      <w:pPr>
        <w:sectPr>
          <w:pgSz w:w="12240" w:h="15840"/>
          <w:pgMar w:top="1080" w:right="900" w:bottom="1440" w:left="900" w:header="720" w:footer="720" w:gutter="0"/>
          <w:docGrid w:linePitch="360"/>
          <w:cols w:num="1"/>
        </w:sectPr>
      </w:pP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I. INTRODUCCIÓN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KenKen es un rompecabezas aritmético-lógico inventado en 2004 por el educador japonés Tetsuya Miyamoto. A diferencia del Sudoku tradicional, donde la cuadrícula está rígidamente subdividida en regiones uniformes de </w:t>
      </w:r>
      <m:oMath>
        <m:r>
          <m:t>3×3</m:t>
        </m:r>
      </m:oMath>
      <w:r>
        <w:rPr>
          <w:rFonts w:ascii="Times New Roman" w:hAnsi="Times New Roman"/>
          <w:b w:val="0"/>
          <w:i w:val="0"/>
          <w:sz w:val="19"/>
        </w:rPr>
        <w:t xml:space="preserve">, KenKen generaliza el concepto de Cuadrado Latino al imponer restricciones aritméticas sobre subconjuntos conexos e irregulares de celdas denominados </w:t>
      </w:r>
      <w:r>
        <w:rPr>
          <w:rFonts w:ascii="Times New Roman" w:hAnsi="Times New Roman"/>
          <w:b w:val="0"/>
          <w:i/>
          <w:sz w:val="19"/>
        </w:rPr>
        <w:t>jaulas</w:t>
      </w:r>
      <w:r>
        <w:rPr>
          <w:rFonts w:ascii="Times New Roman" w:hAnsi="Times New Roman"/>
          <w:b w:val="0"/>
          <w:i w:val="0"/>
          <w:sz w:val="19"/>
        </w:rPr>
        <w:t xml:space="preserve"> (</w:t>
      </w:r>
      <w:r>
        <w:rPr>
          <w:rFonts w:ascii="Times New Roman" w:hAnsi="Times New Roman"/>
          <w:b w:val="0"/>
          <w:i/>
          <w:sz w:val="19"/>
        </w:rPr>
        <w:t>cages</w:t>
      </w:r>
      <w:r>
        <w:rPr>
          <w:rFonts w:ascii="Times New Roman" w:hAnsi="Times New Roman"/>
          <w:b w:val="0"/>
          <w:i w:val="0"/>
          <w:sz w:val="19"/>
        </w:rPr>
        <w:t xml:space="preserve">). Una solución factible debe asignar números enteros del conjunto </w:t>
      </w:r>
      <m:oMath>
        <m:d>
          <m:dPr>
            <m:begChr m:val="{"/>
            <m:sepChr m:val=""/>
            <m:endChr m:val="}"/>
          </m:dPr>
          <m:e>
            <m:r>
              <m:t>1</m:t>
            </m:r>
            <m:r>
              <m:t>,</m:t>
            </m:r>
            <m:r>
              <m:t>2</m:t>
            </m:r>
            <m:r>
              <m:t>,</m:t>
            </m:r>
            <m:r>
              <m:t>…</m:t>
            </m:r>
            <m:r>
              <m:t>,</m:t>
            </m:r>
            <m:r>
              <m:t>n</m:t>
            </m:r>
          </m:e>
        </m:d>
      </m:oMath>
      <w:r>
        <w:rPr>
          <w:rFonts w:ascii="Times New Roman" w:hAnsi="Times New Roman"/>
          <w:b w:val="0"/>
          <w:i w:val="0"/>
          <w:sz w:val="19"/>
        </w:rPr>
        <w:t xml:space="preserve"> a una cuadrícula de dimensión </w:t>
      </w:r>
      <m:oMath>
        <m:r>
          <m:t>n×n</m:t>
        </m:r>
      </m:oMath>
      <w:r>
        <w:rPr>
          <w:rFonts w:ascii="Times New Roman" w:hAnsi="Times New Roman"/>
          <w:b w:val="0"/>
          <w:i w:val="0"/>
          <w:sz w:val="19"/>
        </w:rPr>
        <w:t xml:space="preserve"> garantizando que ningún dígito se repita en ninguna fila o columna, y satisfaciendo exactamente la meta numérica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ascii="Times New Roman" w:hAnsi="Times New Roman"/>
          <w:b w:val="0"/>
          <w:i w:val="0"/>
          <w:sz w:val="19"/>
        </w:rPr>
        <w:t xml:space="preserve"> y el operador asignado </w:t>
      </w:r>
      <m:oMath>
        <m:sSub>
          <m:e>
            <m:r>
              <m:rPr>
                <m:nor/>
              </m:rPr>
              <m:t>op</m:t>
            </m:r>
          </m:e>
          <m:sub>
            <m:r>
              <m:t>c</m:t>
            </m:r>
          </m:sub>
        </m:sSub>
        <m:r>
          <m:t>∈{=,+,−,×,÷}</m:t>
        </m:r>
      </m:oMath>
      <w:r>
        <w:rPr>
          <w:rFonts w:ascii="Times New Roman" w:hAnsi="Times New Roman"/>
          <w:b w:val="0"/>
          <w:i w:val="0"/>
          <w:sz w:val="19"/>
        </w:rPr>
        <w:t xml:space="preserve"> de cada jaula.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Esta topología induce una explosión combinatoria no restringida que escala como </w:t>
      </w:r>
      <m:oMath>
        <m:r>
          <m:t>𝒪(</m:t>
        </m:r>
        <m:sSup>
          <m:e>
            <m:r>
              <m:t>n</m:t>
            </m:r>
          </m:e>
          <m:sup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  <m:r>
          <m:t>)</m:t>
        </m:r>
      </m:oMath>
      <w:r>
        <w:rPr>
          <w:rFonts w:ascii="Times New Roman" w:hAnsi="Times New Roman"/>
          <w:b w:val="0"/>
          <w:i w:val="0"/>
          <w:sz w:val="19"/>
        </w:rPr>
        <w:t>. El reto se incrementa drásticamente cuando el puzzle no proviene de una matriz estructurada, sino de fotografías físicas o capturas digitales tomadas bajo iluminación heterogénea, sombras locales y distorsión geométrica de perspectiva. En un pipeline estrictamente determinista, un único error de lectura en un dígito u operador corrompe las restricciones matemáticas, volviendo el CSP insatisfactible (</w:t>
      </w:r>
      <w:r>
        <w:rPr>
          <w:rFonts w:ascii="Consolas" w:hAnsi="Consolas"/>
          <w:b w:val="0"/>
          <w:sz w:val="18"/>
        </w:rPr>
        <w:t>INFEASIBLE</w:t>
      </w:r>
      <w:r>
        <w:rPr>
          <w:rFonts w:ascii="Times New Roman" w:hAnsi="Times New Roman"/>
          <w:b w:val="0"/>
          <w:i w:val="0"/>
          <w:sz w:val="19"/>
        </w:rPr>
        <w:t>) o forzando soluciones falsas.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Para superar este dilema, desarrollamos un sistema híbrido neuro-simbólico que combina: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Procesamiento visual en OpenCV con homografía proyectiva </w:t>
      </w:r>
      <m:oMath>
        <m:r>
          <m:t>H</m:t>
        </m:r>
      </m:oMath>
      <w:r>
        <w:rPr>
          <w:rFonts w:ascii="Times New Roman" w:hAnsi="Times New Roman"/>
          <w:b w:val="0"/>
          <w:i w:val="0"/>
          <w:sz w:val="19"/>
        </w:rPr>
        <w:t xml:space="preserve"> de </w:t>
      </w:r>
      <m:oMath>
        <m:r>
          <m:t>3×3</m:t>
        </m:r>
      </m:oMath>
      <w:r>
        <w:rPr>
          <w:rFonts w:ascii="Times New Roman" w:hAnsi="Times New Roman"/>
          <w:b w:val="0"/>
          <w:i w:val="0"/>
          <w:sz w:val="19"/>
        </w:rPr>
        <w:t xml:space="preserve">, inferencia del orden </w:t>
      </w:r>
      <m:oMath>
        <m:r>
          <m:t>n</m:t>
        </m:r>
      </m:oMath>
      <w:r>
        <w:rPr>
          <w:rFonts w:ascii="Times New Roman" w:hAnsi="Times New Roman"/>
          <w:b w:val="0"/>
          <w:i w:val="0"/>
          <w:sz w:val="19"/>
        </w:rPr>
        <w:t>, segmentación morfológica y binarización adaptativa ante sombras.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>Reconocimiento de caracteres mediante una red neuronal convolucional especializada (</w:t>
      </w:r>
      <w:r>
        <w:rPr>
          <w:rFonts w:ascii="Consolas" w:hAnsi="Consolas"/>
          <w:b w:val="0"/>
          <w:sz w:val="18"/>
        </w:rPr>
        <w:t>GlyphCNN</w:t>
      </w:r>
      <w:r>
        <w:rPr>
          <w:rFonts w:ascii="Times New Roman" w:hAnsi="Times New Roman"/>
          <w:b w:val="0"/>
          <w:i w:val="0"/>
          <w:sz w:val="19"/>
        </w:rPr>
        <w:t xml:space="preserve">, 403k parámetros), optimizada con </w:t>
      </w:r>
      <w:r>
        <w:rPr>
          <w:rFonts w:ascii="Times New Roman" w:hAnsi="Times New Roman"/>
          <w:b w:val="0"/>
          <w:i/>
          <w:sz w:val="19"/>
        </w:rPr>
        <w:t>Fine-Tuning</w:t>
      </w:r>
      <w:r>
        <w:rPr>
          <w:rFonts w:ascii="Times New Roman" w:hAnsi="Times New Roman"/>
          <w:b w:val="0"/>
          <w:i w:val="0"/>
          <w:sz w:val="19"/>
        </w:rPr>
        <w:t xml:space="preserve"> focalizado, </w:t>
      </w:r>
      <w:r>
        <w:rPr>
          <w:rFonts w:ascii="Times New Roman" w:hAnsi="Times New Roman"/>
          <w:b w:val="0"/>
          <w:i/>
          <w:sz w:val="19"/>
        </w:rPr>
        <w:t>MultiClass Focal Loss</w:t>
      </w:r>
      <w:r>
        <w:rPr>
          <w:rFonts w:ascii="Times New Roman" w:hAnsi="Times New Roman"/>
          <w:b w:val="0"/>
          <w:i w:val="0"/>
          <w:sz w:val="19"/>
        </w:rPr>
        <w:t xml:space="preserve"> y </w:t>
      </w:r>
      <w:r>
        <w:rPr>
          <w:rFonts w:ascii="Times New Roman" w:hAnsi="Times New Roman"/>
          <w:b w:val="0"/>
          <w:i/>
          <w:sz w:val="19"/>
        </w:rPr>
        <w:t>Hard Example Mining</w:t>
      </w:r>
      <w:r>
        <w:rPr>
          <w:rFonts w:ascii="Times New Roman" w:hAnsi="Times New Roman"/>
          <w:b w:val="0"/>
          <w:i w:val="0"/>
          <w:sz w:val="19"/>
        </w:rPr>
        <w:t>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Modelado matemático formal en Google OR-Tools CP-SAT, comparando formulaciones intensionales, restricciones globales extensionales de tabla con Consistencia de Arco Generalizada (GAC), y un modelo de Inferencia Conjunta (MAP) asistido por regularización </w:t>
      </w:r>
      <m:oMath>
        <m:sSub>
          <m:e>
            <m:r>
              <m:t>ℓ</m:t>
            </m:r>
          </m:e>
          <m:sub>
            <m:r>
              <m:t>0</m:t>
            </m:r>
          </m:sub>
        </m:sSub>
      </m:oMath>
      <w:r>
        <w:rPr>
          <w:rFonts w:ascii="Times New Roman" w:hAnsi="Times New Roman"/>
          <w:b w:val="0"/>
          <w:i w:val="0"/>
          <w:sz w:val="19"/>
        </w:rPr>
        <w:t xml:space="preserve"> para rescate de ambigüedades.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>Una política de fidedignidad basada en la teoría de clasificación selectiva con opción de rechazo (</w:t>
      </w:r>
      <w:r>
        <w:rPr>
          <w:rFonts w:ascii="Times New Roman" w:hAnsi="Times New Roman"/>
          <w:b w:val="0"/>
          <w:i/>
          <w:sz w:val="19"/>
        </w:rPr>
        <w:t>Reject Option</w:t>
      </w:r>
      <w:r>
        <w:rPr>
          <w:rFonts w:ascii="Times New Roman" w:hAnsi="Times New Roman"/>
          <w:b w:val="0"/>
          <w:i w:val="0"/>
          <w:sz w:val="19"/>
        </w:rPr>
        <w:t>), desplegada en un semáforo de fiabilidad y una aplicación interactiva en Gradio con 21 casos de prueba.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II. PIPELINE DE VISIÓN COMPUTACIONAL Y RECONOCIMIENTO DE CARACTERES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A. Arquitectura General y Rectificación Geométrica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324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on_st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both"/>
      </w:pPr>
      <w:r>
        <w:rPr>
          <w:rFonts w:ascii="Times New Roman" w:hAnsi="Times New Roman"/>
          <w:i/>
          <w:sz w:val="17"/>
        </w:rPr>
        <w:t>Fig. 1. Etapas del pipeline de visión computacional y rectificación proyectiva.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El pipeline sensorial recibe una imagen en formato raster (</w:t>
      </w:r>
      <w:r>
        <w:rPr>
          <w:rFonts w:ascii="Consolas" w:hAnsi="Consolas"/>
          <w:b w:val="0"/>
          <w:sz w:val="18"/>
        </w:rPr>
        <w:t>.jpg</w:t>
      </w:r>
      <w:r>
        <w:rPr>
          <w:rFonts w:ascii="Times New Roman" w:hAnsi="Times New Roman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sz w:val="18"/>
        </w:rPr>
        <w:t>.png</w:t>
      </w:r>
      <w:r>
        <w:rPr>
          <w:rFonts w:ascii="Times New Roman" w:hAnsi="Times New Roman"/>
          <w:b w:val="0"/>
          <w:i w:val="0"/>
          <w:sz w:val="19"/>
        </w:rPr>
        <w:t>) y la convierte en una estructura simbólica estructurada. La secuencia operativa consta de: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Localización Cuadrangular y Homografía:</w:t>
      </w:r>
      <w:r>
        <w:rPr>
          <w:rFonts w:ascii="Times New Roman" w:hAnsi="Times New Roman"/>
          <w:b w:val="0"/>
          <w:i w:val="0"/>
          <w:sz w:val="19"/>
        </w:rPr>
        <w:t xml:space="preserve"> Se identifican los contornos convexos dominantes y se calcula la matriz de transformación homográfica proyectiva </w:t>
      </w:r>
      <m:oMath>
        <m:r>
          <m:t>H∈</m:t>
        </m:r>
        <m:sSup>
          <m:e>
            <m:r>
              <m:t>ℝ</m:t>
            </m:r>
          </m:e>
          <m:sup>
            <m:r>
              <m:t>3×3</m:t>
            </m:r>
          </m:sup>
        </m:sSup>
      </m:oMath>
      <w:r>
        <w:rPr>
          <w:rFonts w:ascii="Times New Roman" w:hAnsi="Times New Roman"/>
          <w:b w:val="0"/>
          <w:i w:val="0"/>
          <w:sz w:val="19"/>
        </w:rPr>
        <w:t>, corrigiendo la perspectiva angular hacia un plano frontal canónico:</w:t>
      </w:r>
    </w:p>
    <w:p>
      <w:pPr>
        <w:spacing w:before="60" w:after="60"/>
        <w:jc w:val="center"/>
      </w:pPr>
      <m:oMath>
        <m:d>
          <m:dPr>
            <m:begChr m:val="["/>
            <m:sepChr m:val=""/>
            <m:endChr m:val="]"/>
          </m:dPr>
          <m:e>
            <m:eqArr>
              <m:e>
                <m:sSup>
                  <m:e>
                    <m:r>
                      <m:t>x</m:t>
                    </m:r>
                  </m:e>
                  <m:sup>
                    <m:r>
                      <m:t>′</m:t>
                    </m:r>
                  </m:sup>
                </m:sSup>
              </m:e>
              <m:e>
                <m:sSup>
                  <m:e>
                    <m:r>
                      <m:t>y</m:t>
                    </m:r>
                  </m:e>
                  <m:sup>
                    <m:r>
                      <m:t>′</m:t>
                    </m:r>
                  </m:sup>
                </m:sSup>
              </m:e>
              <m:e>
                <m:r>
                  <m:t>1</m:t>
                </m:r>
              </m:e>
            </m:eqArr>
            <m:r>
              <m:t>]</m:t>
            </m:r>
            <m:r>
              <m:t>~</m:t>
            </m:r>
            <m:r>
              <m:t>H</m:t>
            </m:r>
            <m:r>
              <m:t>[</m:t>
            </m:r>
            <m:eqArr>
              <m:e>
                <m:r>
                  <m:t>x</m:t>
                </m:r>
              </m:e>
              <m:e>
                <m:r>
                  <m:t>y</m:t>
                </m:r>
              </m:e>
              <m:e>
                <m:r>
                  <m:t>1</m:t>
                </m:r>
              </m:e>
            </m:eqArr>
          </m:e>
        </m:d>
      </m:oMath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Inferencia del Orden $n$:</w:t>
      </w:r>
      <w:r>
        <w:rPr>
          <w:rFonts w:ascii="Times New Roman" w:hAnsi="Times New Roman"/>
          <w:b w:val="0"/>
          <w:i w:val="0"/>
          <w:sz w:val="19"/>
        </w:rPr>
        <w:t xml:space="preserve"> Se determinan las frecuencias espaciales dominantes mediante perfiles de proyección morfológica de gradientes horizontales y verticales en </w:t>
      </w:r>
      <m:oMath>
        <m:r>
          <m:t>n∈[3,9]</m:t>
        </m:r>
      </m:oMath>
      <w:r>
        <w:rPr>
          <w:rFonts w:ascii="Times New Roman" w:hAnsi="Times New Roman"/>
          <w:b w:val="0"/>
          <w:i w:val="0"/>
          <w:sz w:val="19"/>
        </w:rPr>
        <w:t>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Clasificación de Fronteras y Reconstrucción Topológica:</w:t>
      </w:r>
      <w:r>
        <w:rPr>
          <w:rFonts w:ascii="Times New Roman" w:hAnsi="Times New Roman"/>
          <w:b w:val="0"/>
          <w:i w:val="0"/>
          <w:sz w:val="19"/>
        </w:rPr>
        <w:t xml:space="preserve"> Para distinguir entre líneas internas tenues y bordes gruesos de jaulas, se aplica el método de umbralización de Otsu sobre perfiles de intensidad unidimensionales a lo largo de cada frontera entre celdas. Con la matriz de conectividad resultante, las celdas de cada jaula se agrupan mediante el algoritmo </w:t>
      </w:r>
      <w:r>
        <w:rPr>
          <w:rFonts w:ascii="Times New Roman" w:hAnsi="Times New Roman"/>
          <w:b w:val="0"/>
          <w:i/>
          <w:sz w:val="19"/>
        </w:rPr>
        <w:t>Union-Find</w:t>
      </w:r>
      <w:r>
        <w:rPr>
          <w:rFonts w:ascii="Times New Roman" w:hAnsi="Times New Roman"/>
          <w:b w:val="0"/>
          <w:i w:val="0"/>
          <w:sz w:val="19"/>
        </w:rPr>
        <w:t xml:space="preserve"> con compresión de caminos, operando con complejidad casi lineal </w:t>
      </w:r>
      <m:oMath>
        <m:r>
          <m:t>𝒪(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α(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))</m:t>
        </m:r>
      </m:oMath>
      <w:r>
        <w:rPr>
          <w:rFonts w:ascii="Times New Roman" w:hAnsi="Times New Roman"/>
          <w:b w:val="0"/>
          <w:i w:val="0"/>
          <w:sz w:val="19"/>
        </w:rPr>
        <w:t>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B. Mejoras Algorítmicas de Preprocesamiento y Segmentación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Durante la experimentación sobre escenarios de degradación visual severa, se incorporaron cuatro mecanismos de robustez: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Supresión Periférica de Cuadrícula (`clean_border_lines`):</w:t>
      </w:r>
      <w:r>
        <w:rPr>
          <w:rFonts w:ascii="Times New Roman" w:hAnsi="Times New Roman"/>
          <w:b w:val="0"/>
          <w:i w:val="0"/>
          <w:sz w:val="19"/>
        </w:rPr>
        <w:t xml:space="preserve"> Evita que remanentes de líneas exteriores distorsionen la altura de referencia tipográfica </w:t>
      </w:r>
      <m:oMath>
        <m:r>
          <m:t>ref_h</m:t>
        </m:r>
      </m:oMath>
      <w:r>
        <w:rPr>
          <w:rFonts w:ascii="Times New Roman" w:hAnsi="Times New Roman"/>
          <w:b w:val="0"/>
          <w:i w:val="0"/>
          <w:sz w:val="19"/>
        </w:rPr>
        <w:t>. Suprime componentes conectados verticales (</w:t>
      </w:r>
      <m:oMath>
        <m:r>
          <m:t>h≥0.35×</m:t>
        </m:r>
        <m:r>
          <m:rPr>
            <m:nor/>
          </m:rPr>
          <m:t>cell\_h</m:t>
        </m:r>
      </m:oMath>
      <w:r>
        <w:rPr>
          <w:rFonts w:ascii="Times New Roman" w:hAnsi="Times New Roman"/>
          <w:b w:val="0"/>
          <w:i w:val="0"/>
          <w:sz w:val="19"/>
        </w:rPr>
        <w:t xml:space="preserve">, </w:t>
      </w:r>
      <m:oMath>
        <m:r>
          <m:t>w≤3</m:t>
        </m:r>
        <m:r>
          <m:rPr>
            <m:nor/>
          </m:rPr>
          <m:t> px</m:t>
        </m:r>
      </m:oMath>
      <w:r>
        <w:rPr>
          <w:rFonts w:ascii="Times New Roman" w:hAnsi="Times New Roman"/>
          <w:b w:val="0"/>
          <w:i w:val="0"/>
          <w:sz w:val="19"/>
        </w:rPr>
        <w:t>) u horizontales adheridos a los márgenes (</w:t>
      </w:r>
      <m:oMath>
        <m:r>
          <m:t>x≤2</m:t>
        </m:r>
      </m:oMath>
      <w:r>
        <w:rPr>
          <w:rFonts w:ascii="Times New Roman" w:hAnsi="Times New Roman"/>
          <w:b w:val="0"/>
          <w:i w:val="0"/>
          <w:sz w:val="19"/>
        </w:rPr>
        <w:t xml:space="preserve"> o </w:t>
      </w:r>
      <m:oMath>
        <m:r>
          <m:t>x≥w−4</m:t>
        </m:r>
      </m:oMath>
      <w:r>
        <w:rPr>
          <w:rFonts w:ascii="Times New Roman" w:hAnsi="Times New Roman"/>
          <w:b w:val="0"/>
          <w:i w:val="0"/>
          <w:sz w:val="19"/>
        </w:rPr>
        <w:t>).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Binarización Resiliente ante Sombras Locales:</w:t>
      </w:r>
      <w:r>
        <w:rPr>
          <w:rFonts w:ascii="Times New Roman" w:hAnsi="Times New Roman"/>
          <w:b w:val="0"/>
          <w:i w:val="0"/>
          <w:sz w:val="19"/>
        </w:rPr>
        <w:t xml:space="preserve"> Cuando el umbral de Otsu detecta colapso por gradientes de iluminación (área de tinta </w:t>
      </w:r>
      <m:oMath>
        <m:r>
          <m:t>&gt;18%</m:t>
        </m:r>
      </m:oMath>
      <w:r>
        <w:rPr>
          <w:rFonts w:ascii="Times New Roman" w:hAnsi="Times New Roman"/>
          <w:b w:val="0"/>
          <w:i w:val="0"/>
          <w:sz w:val="19"/>
        </w:rPr>
        <w:t>), el sistema aplica normalización por desenfoque gaussiano de baja frecuencia:</w:t>
      </w:r>
    </w:p>
    <w:p>
      <w:pPr>
        <w:spacing w:before="60" w:after="60"/>
        <w:jc w:val="center"/>
      </w:pPr>
      <m:oMath>
        <m:sSub>
          <m:e>
            <m:r>
              <m:t>I</m:t>
            </m:r>
          </m:e>
          <m:sub>
            <m:r>
              <m:rPr>
                <m:nor/>
              </m:rPr>
              <m:t>norm</m:t>
            </m:r>
          </m:sub>
        </m:sSub>
        <m:r>
          <m:t>=</m:t>
        </m:r>
        <m:r>
          <m:rPr>
            <m:nor/>
          </m:rPr>
          <m:t>clip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I</m:t>
                </m:r>
              </m:num>
              <m:den>
                <m:sSub>
                  <m:e>
                    <m:r>
                      <m:t>𝒢</m:t>
                    </m:r>
                  </m:e>
                  <m:sub>
                    <m:r>
                      <m:t>σ=31</m:t>
                    </m:r>
                  </m:sub>
                </m:sSub>
                <m:r>
                  <m:t>(I)</m:t>
                </m:r>
              </m:den>
            </m:f>
            <m:r>
              <m:t>×</m:t>
            </m:r>
            <m:r>
              <m:t>255</m:t>
            </m:r>
            <m:r>
              <m:t>,</m:t>
            </m:r>
            <m:r>
              <m:t>0</m:t>
            </m:r>
            <m:r>
              <m:t>,</m:t>
            </m:r>
            <m:r>
              <m:t>255</m:t>
            </m:r>
          </m:e>
        </m:d>
      </m:oMath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rescatando el contraste de los dígitos en sombras intensas.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Hipótesis Combinadas de Segundo Orden:</w:t>
      </w:r>
      <w:r>
        <w:rPr>
          <w:rFonts w:ascii="Times New Roman" w:hAnsi="Times New Roman"/>
          <w:b w:val="0"/>
          <w:i w:val="0"/>
          <w:sz w:val="19"/>
        </w:rPr>
        <w:t xml:space="preserve"> En números compuestos de dos dígitos (e.g. </w:t>
      </w:r>
      <w:r>
        <w:rPr>
          <w:rFonts w:ascii="Consolas" w:hAnsi="Consolas"/>
          <w:b w:val="0"/>
          <w:sz w:val="18"/>
        </w:rPr>
        <w:t>14+</w:t>
      </w:r>
      <w:r>
        <w:rPr>
          <w:rFonts w:ascii="Times New Roman" w:hAnsi="Times New Roman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sz w:val="18"/>
        </w:rPr>
        <w:t>48*</w:t>
      </w:r>
      <w:r>
        <w:rPr>
          <w:rFonts w:ascii="Times New Roman" w:hAnsi="Times New Roman"/>
          <w:b w:val="0"/>
          <w:i w:val="0"/>
          <w:sz w:val="19"/>
        </w:rPr>
        <w:t xml:space="preserve">) con </w:t>
      </w:r>
      <w:r>
        <w:rPr>
          <w:rFonts w:ascii="Times New Roman" w:hAnsi="Times New Roman"/>
          <w:b w:val="0"/>
          <w:i/>
          <w:sz w:val="19"/>
        </w:rPr>
        <w:t>kerning</w:t>
      </w:r>
      <w:r>
        <w:rPr>
          <w:rFonts w:ascii="Times New Roman" w:hAnsi="Times New Roman"/>
          <w:b w:val="0"/>
          <w:i w:val="0"/>
          <w:sz w:val="19"/>
        </w:rPr>
        <w:t xml:space="preserve"> estrecho, se evalúan cortes y uniones verticales concurrentes ponderadas log-probabilísticamente.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Poda Sintáctica Canónica a Priori:</w:t>
      </w:r>
      <w:r>
        <w:rPr>
          <w:rFonts w:ascii="Times New Roman" w:hAnsi="Times New Roman"/>
          <w:b w:val="0"/>
          <w:i w:val="0"/>
          <w:sz w:val="19"/>
        </w:rPr>
        <w:t xml:space="preserve"> En las reglas canónicas de KenKen, las operaciones de resta (</w:t>
      </w:r>
      <m:oMath>
        <m:r>
          <m:t>−</m:t>
        </m:r>
      </m:oMath>
      <w:r>
        <w:rPr>
          <w:rFonts w:ascii="Times New Roman" w:hAnsi="Times New Roman"/>
          <w:b w:val="0"/>
          <w:i w:val="0"/>
          <w:sz w:val="19"/>
        </w:rPr>
        <w:t>) y división (</w:t>
      </w:r>
      <m:oMath>
        <m:r>
          <m:t>÷</m:t>
        </m:r>
      </m:oMath>
      <w:r>
        <w:rPr>
          <w:rFonts w:ascii="Times New Roman" w:hAnsi="Times New Roman"/>
          <w:b w:val="0"/>
          <w:i w:val="0"/>
          <w:sz w:val="19"/>
        </w:rPr>
        <w:t xml:space="preserve">) son binarias y no asociativas, restringidas exclusivamente a jaulas de exactamente 2 celdas. Toda hipótesis que contenga </w:t>
      </w:r>
      <m:oMath>
        <m:r>
          <m:t>−</m:t>
        </m:r>
      </m:oMath>
      <w:r>
        <w:rPr>
          <w:rFonts w:ascii="Times New Roman" w:hAnsi="Times New Roman"/>
          <w:b w:val="0"/>
          <w:i w:val="0"/>
          <w:sz w:val="19"/>
        </w:rPr>
        <w:t xml:space="preserve"> o </w:t>
      </w:r>
      <m:oMath>
        <m:r>
          <m:t>÷</m:t>
        </m:r>
      </m:oMath>
      <w:r>
        <w:rPr>
          <w:rFonts w:ascii="Times New Roman" w:hAnsi="Times New Roman"/>
          <w:b w:val="0"/>
          <w:i w:val="0"/>
          <w:sz w:val="19"/>
        </w:rPr>
        <w:t xml:space="preserve"> en jaulas de 3 o más celdas es podada inmediatamente del espacio de búsqueda, previniendo alucinaciones por ruido.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C. Clasificador GlyphCNN y Metodología de Fine-Tuning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3240" cy="1225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finetu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22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both"/>
      </w:pPr>
      <w:r>
        <w:rPr>
          <w:rFonts w:ascii="Times New Roman" w:hAnsi="Times New Roman"/>
          <w:i/>
          <w:sz w:val="17"/>
        </w:rPr>
        <w:t>Fig. 2. Curvas de convergencia y Focal Loss durante el Fine-Tuning de GlyphCNN.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Para el reconocimiento óptico de caracteres se implementó una red convolucional especializada denominada </w:t>
      </w:r>
      <w:r>
        <w:rPr>
          <w:rFonts w:ascii="Consolas" w:hAnsi="Consolas"/>
          <w:b w:val="0"/>
          <w:sz w:val="18"/>
        </w:rPr>
        <w:t>GlyphCNN</w:t>
      </w:r>
      <w:r>
        <w:rPr>
          <w:rFonts w:ascii="Times New Roman" w:hAnsi="Times New Roman"/>
          <w:b w:val="0"/>
          <w:i w:val="0"/>
          <w:sz w:val="19"/>
        </w:rPr>
        <w:t>: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Arquitectura:</w:t>
      </w:r>
      <w:r>
        <w:rPr>
          <w:rFonts w:ascii="Times New Roman" w:hAnsi="Times New Roman"/>
          <w:b w:val="0"/>
          <w:i w:val="0"/>
          <w:sz w:val="19"/>
        </w:rPr>
        <w:t xml:space="preserve"> Entrada de </w:t>
      </w:r>
      <m:oMath>
        <m:r>
          <m:t>32×32</m:t>
        </m:r>
      </m:oMath>
      <w:r>
        <w:rPr>
          <w:rFonts w:ascii="Times New Roman" w:hAnsi="Times New Roman"/>
          <w:b w:val="0"/>
          <w:i w:val="0"/>
          <w:sz w:val="19"/>
        </w:rPr>
        <w:t xml:space="preserve"> píxeles en escala de grises, 3 bloques convolucionales con </w:t>
      </w:r>
      <w:r>
        <w:rPr>
          <w:rFonts w:ascii="Times New Roman" w:hAnsi="Times New Roman"/>
          <w:b w:val="0"/>
          <w:i/>
          <w:sz w:val="19"/>
        </w:rPr>
        <w:t>BatchNorm2D</w:t>
      </w:r>
      <w:r>
        <w:rPr>
          <w:rFonts w:ascii="Times New Roman" w:hAnsi="Times New Roman"/>
          <w:b w:val="0"/>
          <w:i w:val="0"/>
          <w:sz w:val="19"/>
        </w:rPr>
        <w:t xml:space="preserve">, activación </w:t>
      </w:r>
      <w:r>
        <w:rPr>
          <w:rFonts w:ascii="Times New Roman" w:hAnsi="Times New Roman"/>
          <w:b w:val="0"/>
          <w:i/>
          <w:sz w:val="19"/>
        </w:rPr>
        <w:t>ReLU</w:t>
      </w:r>
      <w:r>
        <w:rPr>
          <w:rFonts w:ascii="Times New Roman" w:hAnsi="Times New Roman"/>
          <w:b w:val="0"/>
          <w:i w:val="0"/>
          <w:sz w:val="19"/>
        </w:rPr>
        <w:t xml:space="preserve"> y </w:t>
      </w:r>
      <w:r>
        <w:rPr>
          <w:rFonts w:ascii="Times New Roman" w:hAnsi="Times New Roman"/>
          <w:b w:val="0"/>
          <w:i/>
          <w:sz w:val="19"/>
        </w:rPr>
        <w:t>MaxPool2D</w:t>
      </w:r>
      <w:r>
        <w:rPr>
          <w:rFonts w:ascii="Times New Roman" w:hAnsi="Times New Roman"/>
          <w:b w:val="0"/>
          <w:i w:val="0"/>
          <w:sz w:val="19"/>
        </w:rPr>
        <w:t xml:space="preserve"> (filtros 32, 64, 64), seguidos de </w:t>
      </w:r>
      <w:r>
        <w:rPr>
          <w:rFonts w:ascii="Times New Roman" w:hAnsi="Times New Roman"/>
          <w:b w:val="0"/>
          <w:i/>
          <w:sz w:val="19"/>
        </w:rPr>
        <w:t>Dropout</w:t>
      </w:r>
      <w:r>
        <w:rPr>
          <w:rFonts w:ascii="Times New Roman" w:hAnsi="Times New Roman"/>
          <w:b w:val="0"/>
          <w:i w:val="0"/>
          <w:sz w:val="19"/>
        </w:rPr>
        <w:t xml:space="preserve"> (</w:t>
      </w:r>
      <m:oMath>
        <m:r>
          <m:t>p=0.25</m:t>
        </m:r>
      </m:oMath>
      <w:r>
        <w:rPr>
          <w:rFonts w:ascii="Times New Roman" w:hAnsi="Times New Roman"/>
          <w:b w:val="0"/>
          <w:i w:val="0"/>
          <w:sz w:val="19"/>
        </w:rPr>
        <w:t>) y 2 capas lineales densas (</w:t>
      </w:r>
      <m:oMath>
        <m:r>
          <m:t>512→14</m:t>
        </m:r>
      </m:oMath>
      <w:r>
        <w:rPr>
          <w:rFonts w:ascii="Times New Roman" w:hAnsi="Times New Roman"/>
          <w:b w:val="0"/>
          <w:i w:val="0"/>
          <w:sz w:val="19"/>
        </w:rPr>
        <w:t xml:space="preserve">), con aproximadamente 403,000 parámetros entrenables y 14 clases de salida (dígitos </w:t>
      </w:r>
      <w:r>
        <w:rPr>
          <w:rFonts w:ascii="Consolas" w:hAnsi="Consolas"/>
          <w:b w:val="0"/>
          <w:sz w:val="18"/>
        </w:rPr>
        <w:t>0</w:t>
      </w:r>
      <w:r>
        <w:rPr>
          <w:rFonts w:ascii="Times New Roman" w:hAnsi="Times New Roman"/>
          <w:b w:val="0"/>
          <w:i w:val="0"/>
          <w:sz w:val="19"/>
        </w:rPr>
        <w:t>-</w:t>
      </w:r>
      <w:r>
        <w:rPr>
          <w:rFonts w:ascii="Consolas" w:hAnsi="Consolas"/>
          <w:b w:val="0"/>
          <w:sz w:val="18"/>
        </w:rPr>
        <w:t>9</w:t>
      </w:r>
      <w:r>
        <w:rPr>
          <w:rFonts w:ascii="Times New Roman" w:hAnsi="Times New Roman"/>
          <w:b w:val="0"/>
          <w:i w:val="0"/>
          <w:sz w:val="19"/>
        </w:rPr>
        <w:t xml:space="preserve"> y operadores </w:t>
      </w:r>
      <w:r>
        <w:rPr>
          <w:rFonts w:ascii="Consolas" w:hAnsi="Consolas"/>
          <w:b w:val="0"/>
          <w:sz w:val="18"/>
        </w:rPr>
        <w:t>+</w:t>
      </w:r>
      <w:r>
        <w:rPr>
          <w:rFonts w:ascii="Times New Roman" w:hAnsi="Times New Roman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sz w:val="18"/>
        </w:rPr>
        <w:t>-</w:t>
      </w:r>
      <w:r>
        <w:rPr>
          <w:rFonts w:ascii="Times New Roman" w:hAnsi="Times New Roman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sz w:val="18"/>
        </w:rPr>
        <w:t>*</w:t>
      </w:r>
      <w:r>
        <w:rPr>
          <w:rFonts w:ascii="Times New Roman" w:hAnsi="Times New Roman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sz w:val="18"/>
        </w:rPr>
        <w:t>/</w:t>
      </w:r>
      <w:r>
        <w:rPr>
          <w:rFonts w:ascii="Times New Roman" w:hAnsi="Times New Roman"/>
          <w:b w:val="0"/>
          <w:i w:val="0"/>
          <w:sz w:val="19"/>
        </w:rPr>
        <w:t>).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Preservación del Modelo Base:</w:t>
      </w:r>
      <w:r>
        <w:rPr>
          <w:rFonts w:ascii="Times New Roman" w:hAnsi="Times New Roman"/>
          <w:b w:val="0"/>
          <w:i w:val="0"/>
          <w:sz w:val="19"/>
        </w:rPr>
        <w:t xml:space="preserve"> El modelo original (</w:t>
      </w:r>
      <w:r>
        <w:rPr>
          <w:rFonts w:ascii="Consolas" w:hAnsi="Consolas"/>
          <w:b w:val="0"/>
          <w:sz w:val="18"/>
        </w:rPr>
        <w:t>models/ocr_cnn.pt</w:t>
      </w:r>
      <w:r>
        <w:rPr>
          <w:rFonts w:ascii="Times New Roman" w:hAnsi="Times New Roman"/>
          <w:b w:val="0"/>
          <w:i w:val="0"/>
          <w:sz w:val="19"/>
        </w:rPr>
        <w:t xml:space="preserve">, hash SHA-256 </w:t>
      </w:r>
      <w:r>
        <w:rPr>
          <w:rFonts w:ascii="Consolas" w:hAnsi="Consolas"/>
          <w:b w:val="0"/>
          <w:sz w:val="18"/>
        </w:rPr>
        <w:t>CE25BB9D...</w:t>
      </w:r>
      <w:r>
        <w:rPr>
          <w:rFonts w:ascii="Times New Roman" w:hAnsi="Times New Roman"/>
          <w:b w:val="0"/>
          <w:i w:val="0"/>
          <w:sz w:val="19"/>
        </w:rPr>
        <w:t>) fue preservado intacto.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Estrategia de Fine-Tuning:</w:t>
      </w:r>
      <w:r>
        <w:rPr>
          <w:rFonts w:ascii="Times New Roman" w:hAnsi="Times New Roman"/>
          <w:b w:val="0"/>
          <w:i w:val="0"/>
          <w:sz w:val="19"/>
        </w:rPr>
        <w:t xml:space="preserve"> Se entrenó una versión especializada (</w:t>
      </w:r>
      <w:r>
        <w:rPr>
          <w:rFonts w:ascii="Consolas" w:hAnsi="Consolas"/>
          <w:b w:val="0"/>
          <w:sz w:val="18"/>
        </w:rPr>
        <w:t>models/ocr_cnn_finetuned.pt</w:t>
      </w:r>
      <w:r>
        <w:rPr>
          <w:rFonts w:ascii="Times New Roman" w:hAnsi="Times New Roman"/>
          <w:b w:val="0"/>
          <w:i w:val="0"/>
          <w:sz w:val="19"/>
        </w:rPr>
        <w:t xml:space="preserve">, hash SHA-256 </w:t>
      </w:r>
      <w:r>
        <w:rPr>
          <w:rFonts w:ascii="Consolas" w:hAnsi="Consolas"/>
          <w:b w:val="0"/>
          <w:sz w:val="18"/>
        </w:rPr>
        <w:t>D4A64C20...</w:t>
      </w:r>
      <w:r>
        <w:rPr>
          <w:rFonts w:ascii="Times New Roman" w:hAnsi="Times New Roman"/>
          <w:b w:val="0"/>
          <w:i w:val="0"/>
          <w:sz w:val="19"/>
        </w:rPr>
        <w:t>, ahora predeterminado en el pipeline) con: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/>
          <w:sz w:val="19"/>
        </w:rPr>
        <w:t>Corpus Focalizado de 33,122 glifos:</w:t>
      </w:r>
      <w:r>
        <w:rPr>
          <w:rFonts w:ascii="Times New Roman" w:hAnsi="Times New Roman"/>
          <w:b w:val="0"/>
          <w:i w:val="0"/>
          <w:sz w:val="19"/>
        </w:rPr>
        <w:t xml:space="preserve"> 31,093 glifos sintéticos generados con muestreo sesgado al 60% en operadores conflictivos (</w:t>
      </w:r>
      <w:r>
        <w:rPr>
          <w:rFonts w:ascii="Consolas" w:hAnsi="Consolas"/>
          <w:b w:val="0"/>
          <w:sz w:val="18"/>
        </w:rPr>
        <w:t>/</w:t>
      </w:r>
      <w:r>
        <w:rPr>
          <w:rFonts w:ascii="Times New Roman" w:hAnsi="Times New Roman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sz w:val="18"/>
        </w:rPr>
        <w:t>+</w:t>
      </w:r>
      <w:r>
        <w:rPr>
          <w:rFonts w:ascii="Times New Roman" w:hAnsi="Times New Roman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sz w:val="18"/>
        </w:rPr>
        <w:t>-</w:t>
      </w:r>
      <w:r>
        <w:rPr>
          <w:rFonts w:ascii="Times New Roman" w:hAnsi="Times New Roman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sz w:val="18"/>
        </w:rPr>
        <w:t>*</w:t>
      </w:r>
      <w:r>
        <w:rPr>
          <w:rFonts w:ascii="Times New Roman" w:hAnsi="Times New Roman"/>
          <w:b w:val="0"/>
          <w:i w:val="0"/>
          <w:sz w:val="19"/>
        </w:rPr>
        <w:t>) y dígitos ambiguos sobre diversas tipografías reales (</w:t>
      </w:r>
      <w:r>
        <w:rPr>
          <w:rFonts w:ascii="Consolas" w:hAnsi="Consolas"/>
          <w:b w:val="0"/>
          <w:sz w:val="18"/>
        </w:rPr>
        <w:t>DejaVuSans</w:t>
      </w:r>
      <w:r>
        <w:rPr>
          <w:rFonts w:ascii="Times New Roman" w:hAnsi="Times New Roman"/>
          <w:b w:val="0"/>
          <w:i w:val="0"/>
          <w:sz w:val="19"/>
        </w:rPr>
        <w:t xml:space="preserve">, </w:t>
      </w:r>
      <w:r>
        <w:rPr>
          <w:rFonts w:ascii="Consolas" w:hAnsi="Consolas"/>
          <w:b w:val="0"/>
          <w:sz w:val="18"/>
        </w:rPr>
        <w:t>FreeMono</w:t>
      </w:r>
      <w:r>
        <w:rPr>
          <w:rFonts w:ascii="Times New Roman" w:hAnsi="Times New Roman"/>
          <w:b w:val="0"/>
          <w:i w:val="0"/>
          <w:sz w:val="19"/>
        </w:rPr>
        <w:t xml:space="preserve">, etc.) con perturbaciones de trazo </w:t>
      </w:r>
      <m:oMath>
        <m:sSup>
          <m:e>
            <m:r>
              <m:t>x</m:t>
            </m:r>
          </m:e>
          <m:sup>
            <m:r>
              <m:t>γ</m:t>
            </m:r>
          </m:sup>
        </m:sSup>
      </m:oMath>
      <w:r>
        <w:rPr>
          <w:rFonts w:ascii="Times New Roman" w:hAnsi="Times New Roman"/>
          <w:b w:val="0"/>
          <w:i w:val="0"/>
          <w:sz w:val="19"/>
        </w:rPr>
        <w:t xml:space="preserve"> (</w:t>
      </w:r>
      <m:oMath>
        <m:r>
          <m:t>γ∈[0.75,1.35]</m:t>
        </m:r>
      </m:oMath>
      <w:r>
        <w:rPr>
          <w:rFonts w:ascii="Times New Roman" w:hAnsi="Times New Roman"/>
          <w:b w:val="0"/>
          <w:i w:val="0"/>
          <w:sz w:val="19"/>
        </w:rPr>
        <w:t xml:space="preserve">), rotaciones </w:t>
      </w:r>
      <m:oMath>
        <m:r>
          <m:t>±</m:t>
        </m:r>
        <m:sSup>
          <m:e>
            <m:r>
              <m:t>10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sz w:val="19"/>
        </w:rPr>
        <w:t>, ruido impulsivo y desenfoque; más 2,029 glifos recortados de tableros reales degradados.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/>
          <w:sz w:val="19"/>
        </w:rPr>
        <w:t>MultiClass Focal Loss:</w:t>
      </w:r>
      <w:r>
        <w:rPr>
          <w:rFonts w:ascii="Times New Roman" w:hAnsi="Times New Roman"/>
          <w:b w:val="0"/>
          <w:i w:val="0"/>
          <w:sz w:val="19"/>
        </w:rPr>
        <w:t xml:space="preserve"> Formulación de pérdida focal con modulación de muestras ambiguas y </w:t>
      </w:r>
      <w:r>
        <w:rPr>
          <w:rFonts w:ascii="Times New Roman" w:hAnsi="Times New Roman"/>
          <w:b w:val="0"/>
          <w:i/>
          <w:sz w:val="19"/>
        </w:rPr>
        <w:t>Label Smoothing</w:t>
      </w:r>
      <w:r>
        <w:rPr>
          <w:rFonts w:ascii="Times New Roman" w:hAnsi="Times New Roman"/>
          <w:b w:val="0"/>
          <w:i w:val="0"/>
          <w:sz w:val="19"/>
        </w:rPr>
        <w:t xml:space="preserve"> (</w:t>
      </w:r>
      <m:oMath>
        <m:r>
          <m:t>ϵ=0.02</m:t>
        </m:r>
      </m:oMath>
      <w:r>
        <w:rPr>
          <w:rFonts w:ascii="Times New Roman" w:hAnsi="Times New Roman"/>
          <w:b w:val="0"/>
          <w:i w:val="0"/>
          <w:sz w:val="19"/>
        </w:rPr>
        <w:t>):</w:t>
      </w:r>
    </w:p>
    <w:p>
      <w:pPr>
        <w:spacing w:before="60" w:after="60"/>
        <w:jc w:val="center"/>
      </w:pPr>
      <m:oMath>
        <m:r>
          <m:rPr>
            <m:nor/>
          </m:rPr>
          <m:t>FL</m:t>
        </m:r>
        <m:r>
          <m:t>(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t>)=−</m:t>
        </m:r>
        <m:sSub>
          <m:e>
            <m:r>
              <m:t>α</m:t>
            </m:r>
          </m:e>
          <m:sub>
            <m:r>
              <m:t>t</m:t>
            </m:r>
          </m:sub>
        </m:sSub>
        <m:r>
          <m:t>(1−</m:t>
        </m:r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t>)</m:t>
            </m:r>
          </m:e>
          <m:sup>
            <m:r>
              <m:t>γ</m:t>
            </m:r>
          </m:sup>
        </m:sSup>
        <m:r>
          <m:rPr>
            <m:sty m:val="p"/>
          </m:rPr>
          <m:t>log</m:t>
        </m:r>
        <m:r>
          <m:t>(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t>)</m:t>
        </m:r>
      </m:oMath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con </w:t>
      </w:r>
      <m:oMath>
        <m:r>
          <m:t>γ=1.5</m:t>
        </m:r>
      </m:oMath>
      <w:r>
        <w:rPr>
          <w:rFonts w:ascii="Times New Roman" w:hAnsi="Times New Roman"/>
          <w:b w:val="0"/>
          <w:i w:val="0"/>
          <w:sz w:val="19"/>
        </w:rPr>
        <w:t xml:space="preserve"> y ponderaciones de penalización severa para operadores: </w:t>
      </w:r>
      <m:oMath>
        <m:sSub>
          <m:e>
            <m:r>
              <m:t>α</m:t>
            </m:r>
          </m:e>
          <m:sub>
            <m:r>
              <m:t>/</m:t>
            </m:r>
          </m:sub>
        </m:sSub>
        <m:r>
          <m:t>=1.40</m:t>
        </m:r>
      </m:oMath>
      <w:r>
        <w:rPr>
          <w:rFonts w:ascii="Times New Roman" w:hAnsi="Times New Roman"/>
          <w:b w:val="0"/>
          <w:i w:val="0"/>
          <w:sz w:val="19"/>
        </w:rPr>
        <w:t xml:space="preserve">, </w:t>
      </w:r>
      <m:oMath>
        <m:sSub>
          <m:e>
            <m:r>
              <m:t>α</m:t>
            </m:r>
          </m:e>
          <m:sub>
            <m:r>
              <m:t>+</m:t>
            </m:r>
          </m:sub>
        </m:sSub>
        <m:r>
          <m:t>=1.35</m:t>
        </m:r>
      </m:oMath>
      <w:r>
        <w:rPr>
          <w:rFonts w:ascii="Times New Roman" w:hAnsi="Times New Roman"/>
          <w:b w:val="0"/>
          <w:i w:val="0"/>
          <w:sz w:val="19"/>
        </w:rPr>
        <w:t xml:space="preserve">, </w:t>
      </w:r>
      <m:oMath>
        <m:sSub>
          <m:e>
            <m:r>
              <m:t>α</m:t>
            </m:r>
          </m:e>
          <m:sub>
            <m:r>
              <m:t>−</m:t>
            </m:r>
          </m:sub>
        </m:sSub>
        <m:r>
          <m:t>=1.25</m:t>
        </m:r>
      </m:oMath>
      <w:r>
        <w:rPr>
          <w:rFonts w:ascii="Times New Roman" w:hAnsi="Times New Roman"/>
          <w:b w:val="0"/>
          <w:i w:val="0"/>
          <w:sz w:val="19"/>
        </w:rPr>
        <w:t xml:space="preserve">, </w:t>
      </w:r>
      <m:oMath>
        <m:sSub>
          <m:e>
            <m:r>
              <m:t>α</m:t>
            </m:r>
          </m:e>
          <m:sub>
            <m:r>
              <m:t>*</m:t>
            </m:r>
          </m:sub>
        </m:sSub>
        <m:r>
          <m:t>=1.25</m:t>
        </m:r>
      </m:oMath>
      <w:r>
        <w:rPr>
          <w:rFonts w:ascii="Times New Roman" w:hAnsi="Times New Roman"/>
          <w:b w:val="0"/>
          <w:i w:val="0"/>
          <w:sz w:val="19"/>
        </w:rPr>
        <w:t xml:space="preserve">, </w:t>
      </w:r>
      <m:oMath>
        <m:sSub>
          <m:e>
            <m:r>
              <m:t>α</m:t>
            </m:r>
          </m:e>
          <m:sub>
            <m:r>
              <m:rPr>
                <m:nor/>
              </m:rPr>
              <m:t>dígitos</m:t>
            </m:r>
          </m:sub>
        </m:sSub>
        <m:r>
          <m:t>=1.00</m:t>
        </m:r>
      </m:oMath>
      <w:r>
        <w:rPr>
          <w:rFonts w:ascii="Times New Roman" w:hAnsi="Times New Roman"/>
          <w:b w:val="0"/>
          <w:i w:val="0"/>
          <w:sz w:val="19"/>
        </w:rPr>
        <w:t>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/>
          <w:sz w:val="19"/>
        </w:rPr>
        <w:t>Congelamiento Selectivo:</w:t>
      </w:r>
      <w:r>
        <w:rPr>
          <w:rFonts w:ascii="Times New Roman" w:hAnsi="Times New Roman"/>
          <w:b w:val="0"/>
          <w:i w:val="0"/>
          <w:sz w:val="19"/>
        </w:rPr>
        <w:t xml:space="preserve"> Épocas 1-2 con Bloque 1 congelado (</w:t>
      </w:r>
      <m:oMath>
        <m:r>
          <m:t>lr=2×</m:t>
        </m:r>
        <m:sSup>
          <m:e>
            <m:r>
              <m:t>10</m:t>
            </m:r>
          </m:e>
          <m:sup>
            <m:r>
              <m:t>−4</m:t>
            </m:r>
          </m:sup>
        </m:sSup>
      </m:oMath>
      <w:r>
        <w:rPr>
          <w:rFonts w:ascii="Times New Roman" w:hAnsi="Times New Roman"/>
          <w:b w:val="0"/>
          <w:i w:val="0"/>
          <w:sz w:val="19"/>
        </w:rPr>
        <w:t xml:space="preserve">); épocas 3-8 con descongelamiento global y planificador </w:t>
      </w:r>
      <w:r>
        <w:rPr>
          <w:rFonts w:ascii="Times New Roman" w:hAnsi="Times New Roman"/>
          <w:b w:val="0"/>
          <w:i/>
          <w:sz w:val="19"/>
        </w:rPr>
        <w:t>Cosine Annealing</w:t>
      </w:r>
      <w:r>
        <w:rPr>
          <w:rFonts w:ascii="Times New Roman" w:hAnsi="Times New Roman"/>
          <w:b w:val="0"/>
          <w:i w:val="0"/>
          <w:sz w:val="19"/>
        </w:rPr>
        <w:t xml:space="preserve"> descendiendo hasta </w:t>
      </w:r>
      <m:oMath>
        <m:sSup>
          <m:e>
            <m:r>
              <m:t>10</m:t>
            </m:r>
          </m:e>
          <m:sup>
            <m:r>
              <m:t>−5</m:t>
            </m:r>
          </m:sup>
        </m:sSup>
      </m:oMath>
      <w:r>
        <w:rPr>
          <w:rFonts w:ascii="Times New Roman" w:hAnsi="Times New Roman"/>
          <w:b w:val="0"/>
          <w:i w:val="0"/>
          <w:sz w:val="19"/>
        </w:rPr>
        <w:t xml:space="preserve">. El mejor checkpoint se alcanzó en la época 5 con </w:t>
      </w:r>
      <w:r>
        <w:rPr>
          <w:rFonts w:ascii="Consolas" w:hAnsi="Consolas"/>
          <w:b w:val="0"/>
          <w:sz w:val="18"/>
        </w:rPr>
        <w:t>val_acc = 99.31%</w:t>
      </w:r>
      <w:r>
        <w:rPr>
          <w:rFonts w:ascii="Times New Roman" w:hAnsi="Times New Roman"/>
          <w:b w:val="0"/>
          <w:i w:val="0"/>
          <w:sz w:val="19"/>
        </w:rPr>
        <w:t xml:space="preserve"> y </w:t>
      </w:r>
      <w:r>
        <w:rPr>
          <w:rFonts w:ascii="Consolas" w:hAnsi="Consolas"/>
          <w:b w:val="0"/>
          <w:sz w:val="18"/>
        </w:rPr>
        <w:t>loss = 0.0304</w:t>
      </w:r>
      <w:r>
        <w:rPr>
          <w:rFonts w:ascii="Times New Roman" w:hAnsi="Times New Roman"/>
          <w:b w:val="0"/>
          <w:i w:val="0"/>
          <w:sz w:val="19"/>
        </w:rPr>
        <w:t>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D. Métricas Experimentales de Percepción y Reconocimiento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El pipeline se evaluó cuantitativamente sobre tres corpus con niveles crecientes de adversidad: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Synthetic Normal (300 imágenes, 12,266 glifos):</w:t>
      </w:r>
      <w:r>
        <w:rPr>
          <w:rFonts w:ascii="Times New Roman" w:hAnsi="Times New Roman"/>
          <w:b w:val="0"/>
          <w:i w:val="0"/>
          <w:sz w:val="19"/>
        </w:rPr>
        <w:t xml:space="preserve"> Condiciones nítidas y controladas.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Synthetic Hard (150 imágenes, 4,859 glifos):</w:t>
      </w:r>
      <w:r>
        <w:rPr>
          <w:rFonts w:ascii="Times New Roman" w:hAnsi="Times New Roman"/>
          <w:b w:val="0"/>
          <w:i w:val="0"/>
          <w:sz w:val="19"/>
        </w:rPr>
        <w:t xml:space="preserve"> Ruido físico severo, viñeteado, inclinación y degradación de trazo.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Challenge Stress (50 imágenes, 1,778 glifos):</w:t>
      </w:r>
      <w:r>
        <w:rPr>
          <w:rFonts w:ascii="Times New Roman" w:hAnsi="Times New Roman"/>
          <w:b w:val="0"/>
          <w:i w:val="0"/>
          <w:sz w:val="19"/>
        </w:rPr>
        <w:t xml:space="preserve"> Tableros donde la lectura directa Top-1 presenta al menos una inconsistencia o fallo sensorial.</w:t>
      </w:r>
    </w:p>
    <w:p>
      <w:pPr>
        <w:spacing w:before="120" w:after="40"/>
        <w:jc w:val="left"/>
      </w:pPr>
      <w:r>
        <w:rPr>
          <w:rFonts w:ascii="Times New Roman" w:hAnsi="Times New Roman"/>
          <w:i/>
          <w:sz w:val="19"/>
        </w:rPr>
        <w:t>1) Comparativa Global por Nivel de Entidad: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La exactitud de reconocimiento se define como:</w:t>
      </w:r>
    </w:p>
    <w:p>
      <w:pPr>
        <w:spacing w:before="60" w:after="60"/>
        <w:jc w:val="center"/>
      </w:pPr>
      <m:oMath>
        <m:r>
          <m:rPr>
            <m:nor/>
          </m:rPr>
          <m:t>Accuracy</m:t>
        </m:r>
        <m:r>
          <m:t>=</m:t>
        </m:r>
        <m:f>
          <m:fPr>
            <m:type m:val="bar"/>
          </m:fPr>
          <m:num>
            <m:r>
              <m:rPr>
                <m:nor/>
              </m:rPr>
              <m:t>Aciertos</m:t>
            </m:r>
          </m:num>
          <m:den>
            <m:r>
              <m:rPr>
                <m:nor/>
              </m:rPr>
              <m:t>Total Evaluado</m:t>
            </m:r>
          </m:den>
        </m:f>
        <m:r>
          <m:t>×100%</m:t>
        </m:r>
      </m:oMath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Métrica Crítica</w:t>
            </w:r>
          </w:p>
        </w:tc>
        <w:tc>
          <w:tcPr>
            <w:tcW w:type="dxa" w:w="261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Dataset Normal (300 imgs)</w:t>
            </w:r>
          </w:p>
        </w:tc>
        <w:tc>
          <w:tcPr>
            <w:tcW w:type="dxa" w:w="261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Dataset Hard (150 imgs)</w:t>
            </w:r>
          </w:p>
        </w:tc>
        <w:tc>
          <w:tcPr>
            <w:tcW w:type="dxa" w:w="261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Dataset Stress (50 imgs)</w:t>
            </w:r>
          </w:p>
        </w:tc>
      </w:tr>
      <w:tr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Glifos Analizados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12,266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4,859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1,778</w:t>
            </w:r>
          </w:p>
        </w:tc>
      </w:tr>
      <w:tr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Exactitud por Glifo Individual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99.51%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(12,206/12,266)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90.99%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(4,421/4,859)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89.43%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(1,590/1,778)</w:t>
            </w:r>
          </w:p>
        </w:tc>
      </w:tr>
      <w:tr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Segmentación de Jaula Correcta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96.50%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75.80%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80.50%</w:t>
            </w:r>
          </w:p>
        </w:tc>
      </w:tr>
      <w:tr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Jaula Top-1 Exacta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97.50%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74.30%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83.80%</w:t>
            </w:r>
          </w:p>
        </w:tc>
      </w:tr>
      <w:tr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Jaula Top-$k$ (con alternativas)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99.20%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84.40%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93.90%</w:t>
            </w:r>
          </w:p>
        </w:tc>
      </w:tr>
      <w:tr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Tablero Top-1 Directo (sin CP)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82.00% (246/300)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32.00% (48/150)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4.00% (2/50)</w:t>
            </w:r>
          </w:p>
        </w:tc>
      </w:tr>
      <w:tr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Tablero Resuelto (Top-$k$ + CP-SAT)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90.33% (271/300)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44.67% (67/150)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52.00% (26/50)</w:t>
            </w:r>
          </w:p>
        </w:tc>
      </w:tr>
      <w:tr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Tiempo Medio por Imagen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0.261 s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(-51.9% vs base)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0.365 s</w:t>
            </w:r>
          </w:p>
        </w:tc>
        <w:tc>
          <w:tcPr>
            <w:tcW w:type="dxa" w:w="261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0.387 s</w:t>
            </w:r>
          </w:p>
        </w:tc>
      </w:tr>
    </w:tbl>
    <w:p>
      <w:pPr>
        <w:spacing w:before="0" w:after="80"/>
      </w:pPr>
    </w:p>
    <w:p>
      <w:pPr>
        <w:spacing w:before="120" w:after="40"/>
        <w:jc w:val="left"/>
      </w:pPr>
      <w:r>
        <w:rPr>
          <w:rFonts w:ascii="Times New Roman" w:hAnsi="Times New Roman"/>
          <w:i/>
          <w:sz w:val="19"/>
        </w:rPr>
        <w:t>2) Desglose Exhaustivo por Dimensión ($3\times3$ vs $4\times4$ vs $5\times5$ vs $6\times6$ vs $7\times7$ vs $8\times8$ vs $9\times9$):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El incremento en el tamaño de la cuadrícula impone un desafío doble: la celda dispone de menor resolución en píxeles y el número de jaulas aumenta exponencialmente.</w:t>
      </w:r>
    </w:p>
    <w:p>
      <w:pPr>
        <w:spacing w:before="160" w:after="60"/>
        <w:jc w:val="center"/>
      </w:pPr>
      <w:r>
        <w:rPr>
          <w:rFonts w:ascii="Times New Roman" w:hAnsi="Times New Roman"/>
          <w:b/>
          <w:sz w:val="17"/>
        </w:rPr>
        <w:t>TABLA I. MÉTRICAS COMPARATIVAS GLOBALES DE PERCEPCIÓN A TRAVÉS DE LOS TRES CONJUNTOS DE EVALUACIÓN.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116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Dimensión</w:t>
            </w:r>
          </w:p>
        </w:tc>
        <w:tc>
          <w:tcPr>
            <w:tcW w:type="dxa" w:w="116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Cant. Normal</w:t>
            </w:r>
          </w:p>
        </w:tc>
        <w:tc>
          <w:tcPr>
            <w:tcW w:type="dxa" w:w="116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Jaula Top-1 (Norm)</w:t>
            </w:r>
          </w:p>
        </w:tc>
        <w:tc>
          <w:tcPr>
            <w:tcW w:type="dxa" w:w="116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Tab. Top-1 (Norm)</w:t>
            </w:r>
          </w:p>
        </w:tc>
        <w:tc>
          <w:tcPr>
            <w:tcW w:type="dxa" w:w="116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Tab. + CP (Norm)</w:t>
            </w:r>
          </w:p>
        </w:tc>
        <w:tc>
          <w:tcPr>
            <w:tcW w:type="dxa" w:w="116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Cant. Hard</w:t>
            </w:r>
          </w:p>
        </w:tc>
        <w:tc>
          <w:tcPr>
            <w:tcW w:type="dxa" w:w="116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Jaula Top-1 (Hard)</w:t>
            </w:r>
          </w:p>
        </w:tc>
        <w:tc>
          <w:tcPr>
            <w:tcW w:type="dxa" w:w="116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Tab. Top-1 (Hard)</w:t>
            </w:r>
          </w:p>
        </w:tc>
        <w:tc>
          <w:tcPr>
            <w:tcW w:type="dxa" w:w="116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Tab. + CP (Hard)</w:t>
            </w:r>
          </w:p>
        </w:tc>
      </w:tr>
      <w:tr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$3 \times 3$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39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99.4%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97.4%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97.4%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95.0%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82.6%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91.3%</w:t>
            </w:r>
          </w:p>
        </w:tc>
      </w:tr>
      <w:tr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$4 \times 4$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99.7%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97.6%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100.0%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28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77.7%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39.3%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50.0%</w:t>
            </w:r>
          </w:p>
        </w:tc>
      </w:tr>
      <w:tr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$5 \times 5$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45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99.4%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95.6%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95.6%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75.2%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27.8%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27.8%</w:t>
            </w:r>
          </w:p>
        </w:tc>
      </w:tr>
      <w:tr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$6 \times 6$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40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97.7%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82.5%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92.5%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60.2%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20.0%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33.3%</w:t>
            </w:r>
          </w:p>
        </w:tc>
      </w:tr>
      <w:tr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$7 \times 7$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44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98.7%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81.8%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90.9%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59.4%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6.2%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12.5%</w:t>
            </w:r>
          </w:p>
        </w:tc>
      </w:tr>
      <w:tr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$8 \times 8$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47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96.7%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61.7%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80.9%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77.3%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18.8%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43.8%</w:t>
            </w:r>
          </w:p>
        </w:tc>
      </w:tr>
      <w:tr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$9 \times 9$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44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96.3%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61.4%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77.3%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77.8%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17.6%</w:t>
            </w:r>
          </w:p>
        </w:tc>
        <w:tc>
          <w:tcPr>
            <w:tcW w:type="dxa" w:w="116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38.2%</w:t>
            </w:r>
          </w:p>
        </w:tc>
      </w:tr>
    </w:tbl>
    <w:p>
      <w:pPr>
        <w:spacing w:before="0" w:after="80"/>
      </w:pP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En tableros de menor dimensión (</w:t>
      </w:r>
      <m:oMath>
        <m:r>
          <m:t>3×3</m:t>
        </m:r>
      </m:oMath>
      <w:r>
        <w:rPr>
          <w:rFonts w:ascii="Times New Roman" w:hAnsi="Times New Roman"/>
          <w:b w:val="0"/>
          <w:i w:val="0"/>
          <w:sz w:val="19"/>
        </w:rPr>
        <w:t xml:space="preserve"> y </w:t>
      </w:r>
      <m:oMath>
        <m:r>
          <m:t>4×4</m:t>
        </m:r>
      </m:oMath>
      <w:r>
        <w:rPr>
          <w:rFonts w:ascii="Times New Roman" w:hAnsi="Times New Roman"/>
          <w:b w:val="0"/>
          <w:i w:val="0"/>
          <w:sz w:val="19"/>
        </w:rPr>
        <w:t xml:space="preserve">), la asistencia del solucionador CP permite elevar el éxito de resolución al </w:t>
      </w:r>
      <m:oMath>
        <m:r>
          <m:t>100.0%</m:t>
        </m:r>
      </m:oMath>
      <w:r>
        <w:rPr>
          <w:rFonts w:ascii="Times New Roman" w:hAnsi="Times New Roman"/>
          <w:b w:val="0"/>
          <w:i w:val="0"/>
          <w:sz w:val="19"/>
        </w:rPr>
        <w:t xml:space="preserve"> y </w:t>
      </w:r>
      <m:oMath>
        <m:r>
          <m:t>91.3%</m:t>
        </m:r>
      </m:oMath>
      <w:r>
        <w:rPr>
          <w:rFonts w:ascii="Times New Roman" w:hAnsi="Times New Roman"/>
          <w:b w:val="0"/>
          <w:i w:val="0"/>
          <w:sz w:val="19"/>
        </w:rPr>
        <w:t>. En tableros grandes (</w:t>
      </w:r>
      <m:oMath>
        <m:r>
          <m:t>8×8</m:t>
        </m:r>
      </m:oMath>
      <w:r>
        <w:rPr>
          <w:rFonts w:ascii="Times New Roman" w:hAnsi="Times New Roman"/>
          <w:b w:val="0"/>
          <w:i w:val="0"/>
          <w:sz w:val="19"/>
        </w:rPr>
        <w:t xml:space="preserve"> y </w:t>
      </w:r>
      <m:oMath>
        <m:r>
          <m:t>9×9</m:t>
        </m:r>
      </m:oMath>
      <w:r>
        <w:rPr>
          <w:rFonts w:ascii="Times New Roman" w:hAnsi="Times New Roman"/>
          <w:b w:val="0"/>
          <w:i w:val="0"/>
          <w:sz w:val="19"/>
        </w:rPr>
        <w:t xml:space="preserve">), aunque el reconocimiento directo decae al </w:t>
      </w:r>
      <m:oMath>
        <m:r>
          <m:t>≈61%</m:t>
        </m:r>
      </m:oMath>
      <w:r>
        <w:rPr>
          <w:rFonts w:ascii="Times New Roman" w:hAnsi="Times New Roman"/>
          <w:b w:val="0"/>
          <w:i w:val="0"/>
          <w:sz w:val="19"/>
        </w:rPr>
        <w:t xml:space="preserve"> por acumulación de probabilidades de error, la inferencia conjunta rescata un volumen sustancial de tableros, alcanzando un </w:t>
      </w:r>
      <m:oMath>
        <m:r>
          <m:t>77.3%</m:t>
        </m:r>
      </m:oMath>
      <w:r>
        <w:rPr>
          <w:rFonts w:ascii="Times New Roman" w:hAnsi="Times New Roman"/>
          <w:b w:val="0"/>
          <w:i w:val="0"/>
          <w:sz w:val="19"/>
        </w:rPr>
        <w:t xml:space="preserve"> de resolución exitosa.</w:t>
      </w:r>
    </w:p>
    <w:p>
      <w:pPr>
        <w:spacing w:before="120" w:after="40"/>
        <w:jc w:val="left"/>
      </w:pPr>
      <w:r>
        <w:rPr>
          <w:rFonts w:ascii="Times New Roman" w:hAnsi="Times New Roman"/>
          <w:i/>
          <w:sz w:val="19"/>
        </w:rPr>
        <w:t>3) Desempeño por Carácter Individual (F1-Score) y Pares de Confusión Críticos: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La evaluación de las matrices de confusión confirma que el operador de división (</w:t>
      </w:r>
      <m:oMath>
        <m:r>
          <m:t>÷</m:t>
        </m:r>
      </m:oMath>
      <w:r>
        <w:rPr>
          <w:rFonts w:ascii="Times New Roman" w:hAnsi="Times New Roman"/>
          <w:b w:val="0"/>
          <w:i w:val="0"/>
          <w:sz w:val="19"/>
        </w:rPr>
        <w:t>) es el elemento más vulnerable del sistema sensorial:</w:t>
      </w:r>
    </w:p>
    <w:p>
      <w:pPr>
        <w:spacing w:before="160" w:after="60"/>
        <w:jc w:val="center"/>
      </w:pPr>
      <w:r>
        <w:rPr>
          <w:rFonts w:ascii="Times New Roman" w:hAnsi="Times New Roman"/>
          <w:b/>
          <w:sz w:val="17"/>
        </w:rPr>
        <w:t>TABLA II. DESGLOSE DETALLADO POR ORDEN DE TABLERO ($N=3$ A $9$) COMPARANDO SYNTHETIC NORMAL Y SYNTHETIC HARD.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c>
          <w:tcPr>
            <w:tcW w:type="dxa" w:w="174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Glifo / Carácter</w:t>
            </w:r>
          </w:p>
        </w:tc>
        <w:tc>
          <w:tcPr>
            <w:tcW w:type="dxa" w:w="174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Rol Funcional</w:t>
            </w:r>
          </w:p>
        </w:tc>
        <w:tc>
          <w:tcPr>
            <w:tcW w:type="dxa" w:w="174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F1 Normal (300 imgs)</w:t>
            </w:r>
          </w:p>
        </w:tc>
        <w:tc>
          <w:tcPr>
            <w:tcW w:type="dxa" w:w="174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F1 Hard (150 imgs)</w:t>
            </w:r>
          </w:p>
        </w:tc>
        <w:tc>
          <w:tcPr>
            <w:tcW w:type="dxa" w:w="174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F1 Stress (50 imgs)</w:t>
            </w:r>
          </w:p>
        </w:tc>
        <w:tc>
          <w:tcPr>
            <w:tcW w:type="dxa" w:w="1740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Nivel de Vulnerabilidad</w:t>
            </w:r>
          </w:p>
        </w:tc>
      </w:tr>
      <w:tr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`/`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Operador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95.21%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76.13%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70.87%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Crítica (Peor clase)</w:t>
            </w:r>
          </w:p>
        </w:tc>
      </w:tr>
      <w:tr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`-`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Operador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98.93%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85.60%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85.29%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Alta</w:t>
            </w:r>
          </w:p>
        </w:tc>
      </w:tr>
      <w:tr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`+`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Operador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98.90%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87.95%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91.24%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Moderada</w:t>
            </w:r>
          </w:p>
        </w:tc>
      </w:tr>
      <w:tr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`*`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Operador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99.91%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92.34%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98.55%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Baja</w:t>
            </w:r>
          </w:p>
        </w:tc>
      </w:tr>
      <w:tr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`0`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Dígito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99.66%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89.11%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94.17%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Moderada</w:t>
            </w:r>
          </w:p>
        </w:tc>
      </w:tr>
      <w:tr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`1`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Dígito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99.85%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91.96%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95.58%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Baja (absorbe falsos positivos)</w:t>
            </w:r>
          </w:p>
        </w:tc>
      </w:tr>
      <w:tr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`2`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Dígito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99.71%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94.21%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97.14%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Baja</w:t>
            </w:r>
          </w:p>
        </w:tc>
      </w:tr>
      <w:tr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`3`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Dígito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100.00%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93.56%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93.72%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Baja</w:t>
            </w:r>
          </w:p>
        </w:tc>
      </w:tr>
      <w:tr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`4`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Dígito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99.76%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94.39%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98.35%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Baja</w:t>
            </w:r>
          </w:p>
        </w:tc>
      </w:tr>
      <w:tr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`5`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Dígito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100.00%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90.09%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97.65%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Moderada</w:t>
            </w:r>
          </w:p>
        </w:tc>
      </w:tr>
      <w:tr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`6`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Dígito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99.92%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92.84%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96.12%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Baja</w:t>
            </w:r>
          </w:p>
        </w:tc>
      </w:tr>
      <w:tr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`7`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Dígito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99.74%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96.18%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96.70%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Baja</w:t>
            </w:r>
          </w:p>
        </w:tc>
      </w:tr>
      <w:tr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`8`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Dígito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100.00%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92.34%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98.01%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Baja</w:t>
            </w:r>
          </w:p>
        </w:tc>
      </w:tr>
      <w:tr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`9`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Dígito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100.00%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87.00%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97.50%</w:t>
            </w:r>
          </w:p>
        </w:tc>
        <w:tc>
          <w:tcPr>
            <w:tcW w:type="dxa" w:w="1740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Moderada</w:t>
            </w:r>
          </w:p>
        </w:tc>
      </w:tr>
    </w:tbl>
    <w:p>
      <w:pPr>
        <w:spacing w:before="0" w:after="80"/>
      </w:pP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Las cinco confusiones físicas más frecuentes observadas y sus causas son: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`/` $\to$ `+` (52 casos):</w:t>
      </w:r>
      <w:r>
        <w:rPr>
          <w:rFonts w:ascii="Times New Roman" w:hAnsi="Times New Roman"/>
          <w:b w:val="0"/>
          <w:i w:val="0"/>
          <w:sz w:val="19"/>
        </w:rPr>
        <w:t xml:space="preserve"> La barra oblicua al intersectar residuos de la línea divisoria de la cuadrícula genera un falso brazo horizontal, activando los filtros ortogonales de </w:t>
      </w:r>
      <w:r>
        <w:rPr>
          <w:rFonts w:ascii="Consolas" w:hAnsi="Consolas"/>
          <w:b w:val="0"/>
          <w:sz w:val="18"/>
        </w:rPr>
        <w:t>+</w:t>
      </w:r>
      <w:r>
        <w:rPr>
          <w:rFonts w:ascii="Times New Roman" w:hAnsi="Times New Roman"/>
          <w:b w:val="0"/>
          <w:i w:val="0"/>
          <w:sz w:val="19"/>
        </w:rPr>
        <w:t>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`+` $\to$ `/` (40 casos):</w:t>
      </w:r>
      <w:r>
        <w:rPr>
          <w:rFonts w:ascii="Times New Roman" w:hAnsi="Times New Roman"/>
          <w:b w:val="0"/>
          <w:i w:val="0"/>
          <w:sz w:val="19"/>
        </w:rPr>
        <w:t xml:space="preserve"> La erosión morfológica o atenuación por sombras elimina uno de los brazos del </w:t>
      </w:r>
      <w:r>
        <w:rPr>
          <w:rFonts w:ascii="Consolas" w:hAnsi="Consolas"/>
          <w:b w:val="0"/>
          <w:sz w:val="18"/>
        </w:rPr>
        <w:t>+</w:t>
      </w:r>
      <w:r>
        <w:rPr>
          <w:rFonts w:ascii="Times New Roman" w:hAnsi="Times New Roman"/>
          <w:b w:val="0"/>
          <w:i w:val="0"/>
          <w:sz w:val="19"/>
        </w:rPr>
        <w:t>, haciendo que la inclinación proyectiva lo asemeje a un trazo oblicuo.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`-` $\to$ `+` (26 casos):</w:t>
      </w:r>
      <w:r>
        <w:rPr>
          <w:rFonts w:ascii="Times New Roman" w:hAnsi="Times New Roman"/>
          <w:b w:val="0"/>
          <w:i w:val="0"/>
          <w:sz w:val="19"/>
        </w:rPr>
        <w:t xml:space="preserve"> Una línea vertical espuria que cruza el guion central transforma el signo en una cruz.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`2` $\to$ `1` (24 casos):</w:t>
      </w:r>
      <w:r>
        <w:rPr>
          <w:rFonts w:ascii="Times New Roman" w:hAnsi="Times New Roman"/>
          <w:b w:val="0"/>
          <w:i w:val="0"/>
          <w:sz w:val="19"/>
        </w:rPr>
        <w:t xml:space="preserve"> En tableros densos (</w:t>
      </w:r>
      <m:oMath>
        <m:r>
          <m:t>8×8</m:t>
        </m:r>
      </m:oMath>
      <w:r>
        <w:rPr>
          <w:rFonts w:ascii="Times New Roman" w:hAnsi="Times New Roman"/>
          <w:b w:val="0"/>
          <w:i w:val="0"/>
          <w:sz w:val="19"/>
        </w:rPr>
        <w:t xml:space="preserve">, </w:t>
      </w:r>
      <m:oMath>
        <m:r>
          <m:t>9×9</m:t>
        </m:r>
      </m:oMath>
      <w:r>
        <w:rPr>
          <w:rFonts w:ascii="Times New Roman" w:hAnsi="Times New Roman"/>
          <w:b w:val="0"/>
          <w:i w:val="0"/>
          <w:sz w:val="19"/>
        </w:rPr>
        <w:t xml:space="preserve">), la baja resolución de la celda desvanece las curvas superior e inferior del </w:t>
      </w:r>
      <w:r>
        <w:rPr>
          <w:rFonts w:ascii="Consolas" w:hAnsi="Consolas"/>
          <w:b w:val="0"/>
          <w:sz w:val="18"/>
        </w:rPr>
        <w:t>2</w:t>
      </w:r>
      <w:r>
        <w:rPr>
          <w:rFonts w:ascii="Times New Roman" w:hAnsi="Times New Roman"/>
          <w:b w:val="0"/>
          <w:i w:val="0"/>
          <w:sz w:val="19"/>
        </w:rPr>
        <w:t>, reteniendo únicamente la espina vertical.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`*` $\to$ `+` (18 casos):</w:t>
      </w:r>
      <w:r>
        <w:rPr>
          <w:rFonts w:ascii="Times New Roman" w:hAnsi="Times New Roman"/>
          <w:b w:val="0"/>
          <w:i w:val="0"/>
          <w:sz w:val="19"/>
        </w:rPr>
        <w:t xml:space="preserve"> El signo de multiplicación </w:t>
      </w:r>
      <m:oMath>
        <m:r>
          <m:t>×</m:t>
        </m:r>
      </m:oMath>
      <w:r>
        <w:rPr>
          <w:rFonts w:ascii="Times New Roman" w:hAnsi="Times New Roman"/>
          <w:b w:val="0"/>
          <w:i w:val="0"/>
          <w:sz w:val="19"/>
        </w:rPr>
        <w:t xml:space="preserve"> difiere de </w:t>
      </w:r>
      <m:oMath>
        <m:r>
          <m:t>+</m:t>
        </m:r>
      </m:oMath>
      <w:r>
        <w:rPr>
          <w:rFonts w:ascii="Times New Roman" w:hAnsi="Times New Roman"/>
          <w:b w:val="0"/>
          <w:i w:val="0"/>
          <w:sz w:val="19"/>
        </w:rPr>
        <w:t xml:space="preserve"> únicamente por una rotación de </w:t>
      </w:r>
      <m:oMath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sz w:val="19"/>
        </w:rPr>
        <w:t>, solapando filtros ante ángulos residuales de perspectiva.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III. MODELO MATEMÁTICO FORMAL DE CONSTRAINT PROGRAMMING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A. Definición del CSP y Variables de Decisión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El acertijo KenKen de orden </w:t>
      </w:r>
      <m:oMath>
        <m:r>
          <m:t>n</m:t>
        </m:r>
      </m:oMath>
      <w:r>
        <w:rPr>
          <w:rFonts w:ascii="Times New Roman" w:hAnsi="Times New Roman"/>
          <w:b w:val="0"/>
          <w:i w:val="0"/>
          <w:sz w:val="19"/>
        </w:rPr>
        <w:t xml:space="preserve"> se formula como un Problema de Satisfacción de Restricciones formal </w:t>
      </w:r>
      <m:oMath>
        <m:r>
          <m:t>𝒫=⟨X,D,C⟩</m:t>
        </m:r>
      </m:oMath>
      <w:r>
        <w:rPr>
          <w:rFonts w:ascii="Times New Roman" w:hAnsi="Times New Roman"/>
          <w:b w:val="0"/>
          <w:i w:val="0"/>
          <w:sz w:val="19"/>
        </w:rPr>
        <w:t>: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Variables de Decisión:</w:t>
      </w:r>
    </w:p>
    <w:p>
      <w:pPr>
        <w:spacing w:before="60" w:after="60"/>
        <w:jc w:val="center"/>
      </w:pPr>
      <m:oMath>
        <m:r>
          <m:t>X={</m:t>
        </m:r>
        <m:sSub>
          <m:e>
            <m:r>
              <m:t>x</m:t>
            </m:r>
          </m:e>
          <m:sub>
            <m:r>
              <m:t>i,j</m:t>
            </m:r>
          </m:sub>
        </m:sSub>
        <m:r>
          <m:t>∣1≤i≤n,</m:t>
        </m:r>
        <m:r>
          <m:t>1≤j≤n}</m:t>
        </m:r>
      </m:oMath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donde </w:t>
      </w:r>
      <m:oMath>
        <m:sSub>
          <m:e>
            <m:r>
              <m:t>x</m:t>
            </m:r>
          </m:e>
          <m:sub>
            <m:r>
              <m:t>i,j</m:t>
            </m:r>
          </m:sub>
        </m:sSub>
      </m:oMath>
      <w:r>
        <w:rPr>
          <w:rFonts w:ascii="Times New Roman" w:hAnsi="Times New Roman"/>
          <w:b w:val="0"/>
          <w:i w:val="0"/>
          <w:sz w:val="19"/>
        </w:rPr>
        <w:t xml:space="preserve"> representa el valor entero asignado a la celda en la fila </w:t>
      </w:r>
      <m:oMath>
        <m:r>
          <m:t>i</m:t>
        </m:r>
      </m:oMath>
      <w:r>
        <w:rPr>
          <w:rFonts w:ascii="Times New Roman" w:hAnsi="Times New Roman"/>
          <w:b w:val="0"/>
          <w:i w:val="0"/>
          <w:sz w:val="19"/>
        </w:rPr>
        <w:t xml:space="preserve"> y columna </w:t>
      </w:r>
      <m:oMath>
        <m:r>
          <m:t>j</m:t>
        </m:r>
      </m:oMath>
      <w:r>
        <w:rPr>
          <w:rFonts w:ascii="Times New Roman" w:hAnsi="Times New Roman"/>
          <w:b w:val="0"/>
          <w:i w:val="0"/>
          <w:sz w:val="19"/>
        </w:rPr>
        <w:t xml:space="preserve">, con un total de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sz w:val="19"/>
        </w:rPr>
        <w:t xml:space="preserve"> variables.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Dominios Finitos:</w:t>
      </w:r>
    </w:p>
    <w:p>
      <w:pPr>
        <w:spacing w:before="60" w:after="60"/>
        <w:jc w:val="center"/>
      </w:pPr>
      <m:oMath>
        <m:r>
          <m:t>D(</m:t>
        </m:r>
        <m:sSub>
          <m:e>
            <m:r>
              <m:t>x</m:t>
            </m:r>
          </m:e>
          <m:sub>
            <m:r>
              <m:t>i,j</m:t>
            </m:r>
          </m:sub>
        </m:sSub>
        <m:r>
          <m:t>)={1,2,…,n},</m:t>
        </m:r>
        <m:r>
          <m:t>∀</m:t>
        </m:r>
        <m:sSub>
          <m:e>
            <m:r>
              <m:t>x</m:t>
            </m:r>
          </m:e>
          <m:sub>
            <m:r>
              <m:t>i,j</m:t>
            </m:r>
          </m:sub>
        </m:sSub>
        <m:r>
          <m:t>∈X</m:t>
        </m:r>
      </m:oMath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Partición de Jaulas:</w:t>
      </w:r>
      <w:r>
        <w:rPr>
          <w:rFonts w:ascii="Times New Roman" w:hAnsi="Times New Roman"/>
          <w:b w:val="0"/>
          <w:i w:val="0"/>
          <w:sz w:val="19"/>
        </w:rPr>
        <w:t xml:space="preserve"> La colección de jaulas </w:t>
      </w:r>
      <m:oMath>
        <m:r>
          <m:t>𝒞={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,…,</m:t>
        </m:r>
        <m:sSub>
          <m:e>
            <m:r>
              <m:t>c</m:t>
            </m:r>
          </m:e>
          <m:sub>
            <m:r>
              <m:t>m</m:t>
            </m:r>
          </m:sub>
        </m:sSub>
        <m:r>
          <m:t>}</m:t>
        </m:r>
      </m:oMath>
      <w:r>
        <w:rPr>
          <w:rFonts w:ascii="Times New Roman" w:hAnsi="Times New Roman"/>
          <w:b w:val="0"/>
          <w:i w:val="0"/>
          <w:sz w:val="19"/>
        </w:rPr>
        <w:t xml:space="preserve"> conforma una partición disjunta del tablero (</w:t>
      </w:r>
      <m:oMath>
        <m:r>
          <m:t>⋃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t>=X</m:t>
        </m:r>
      </m:oMath>
      <w:r>
        <w:rPr>
          <w:rFonts w:ascii="Times New Roman" w:hAnsi="Times New Roman"/>
          <w:b w:val="0"/>
          <w:i w:val="0"/>
          <w:sz w:val="19"/>
        </w:rPr>
        <w:t xml:space="preserve"> y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t>∩</m:t>
        </m:r>
        <m:sSub>
          <m:e>
            <m:r>
              <m:t>V</m:t>
            </m:r>
          </m:e>
          <m:sub>
            <m:r>
              <m:t>b</m:t>
            </m:r>
          </m:sub>
        </m:sSub>
        <m:r>
          <m:t>=∅</m:t>
        </m:r>
      </m:oMath>
      <w:r>
        <w:rPr>
          <w:rFonts w:ascii="Times New Roman" w:hAnsi="Times New Roman"/>
          <w:b w:val="0"/>
          <w:i w:val="0"/>
          <w:sz w:val="19"/>
        </w:rPr>
        <w:t xml:space="preserve">). Cada jaula </w:t>
      </w:r>
      <m:oMath>
        <m:r>
          <m:t>c=⟨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t>,</m:t>
        </m:r>
        <m:sSub>
          <m:e>
            <m:r>
              <m:rPr>
                <m:nor/>
              </m:rPr>
              <m:t>op</m:t>
            </m:r>
          </m:e>
          <m:sub>
            <m:r>
              <m:t>c</m:t>
            </m:r>
          </m:sub>
        </m:sSub>
        <m:r>
          <m:t>⟩</m:t>
        </m:r>
      </m:oMath>
      <w:r>
        <w:rPr>
          <w:rFonts w:ascii="Times New Roman" w:hAnsi="Times New Roman"/>
          <w:b w:val="0"/>
          <w:i w:val="0"/>
          <w:sz w:val="19"/>
        </w:rPr>
        <w:t xml:space="preserve"> está definida por sus celdas 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t>⊆X</m:t>
        </m:r>
      </m:oMath>
      <w:r>
        <w:rPr>
          <w:rFonts w:ascii="Times New Roman" w:hAnsi="Times New Roman"/>
          <w:b w:val="0"/>
          <w:i w:val="0"/>
          <w:sz w:val="19"/>
        </w:rPr>
        <w:t xml:space="preserve">, su valor objetivo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t>∈ℕ</m:t>
        </m:r>
      </m:oMath>
      <w:r>
        <w:rPr>
          <w:rFonts w:ascii="Times New Roman" w:hAnsi="Times New Roman"/>
          <w:b w:val="0"/>
          <w:i w:val="0"/>
          <w:sz w:val="19"/>
        </w:rPr>
        <w:t xml:space="preserve"> y su operador </w:t>
      </w:r>
      <m:oMath>
        <m:sSub>
          <m:e>
            <m:r>
              <m:rPr>
                <m:nor/>
              </m:rPr>
              <m:t>op</m:t>
            </m:r>
          </m:e>
          <m:sub>
            <m:r>
              <m:t>c</m:t>
            </m:r>
          </m:sub>
        </m:sSub>
      </m:oMath>
      <w:r>
        <w:rPr>
          <w:rFonts w:ascii="Times New Roman" w:hAnsi="Times New Roman"/>
          <w:b w:val="0"/>
          <w:i w:val="0"/>
          <w:sz w:val="19"/>
        </w:rPr>
        <w:t>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B. Restricciones Globales de Cuadrado Latino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Para asegurar la propiedad fundamental de no repetición de valores en filas y columnas, se aplican restricciones globales de desigualdad mediante el algoritmo de filtrado de hiperarco de Régin:</w:t>
      </w:r>
    </w:p>
    <w:p>
      <w:pPr>
        <w:spacing w:before="60" w:after="60"/>
        <w:jc w:val="center"/>
      </w:pPr>
      <m:oMath>
        <m:r>
          <m:rPr>
            <m:nor/>
          </m:rPr>
          <m:t>AllDifferent</m:t>
        </m:r>
        <m:r>
          <m:t>({</m:t>
        </m:r>
        <m:sSub>
          <m:e>
            <m:r>
              <m:t>x</m:t>
            </m:r>
          </m:e>
          <m:sub>
            <m:r>
              <m:t>i,1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i,2</m:t>
            </m:r>
          </m:sub>
        </m:sSub>
        <m:r>
          <m:t>,…,</m:t>
        </m:r>
        <m:sSub>
          <m:e>
            <m:r>
              <m:t>x</m:t>
            </m:r>
          </m:e>
          <m:sub>
            <m:r>
              <m:t>i,n</m:t>
            </m:r>
          </m:sub>
        </m:sSub>
        <m:r>
          <m:t>}),</m:t>
        </m:r>
        <m:r>
          <m:t>∀i∈{1,…,n}</m:t>
        </m:r>
      </m:oMath>
    </w:p>
    <w:p>
      <w:pPr>
        <w:spacing w:before="60" w:after="60"/>
        <w:jc w:val="center"/>
      </w:pPr>
      <m:oMath>
        <m:r>
          <m:rPr>
            <m:nor/>
          </m:rPr>
          <m:t>AllDifferent</m:t>
        </m:r>
        <m:r>
          <m:t>({</m:t>
        </m:r>
        <m:sSub>
          <m:e>
            <m:r>
              <m:t>x</m:t>
            </m:r>
          </m:e>
          <m:sub>
            <m:r>
              <m:t>1,j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2,j</m:t>
            </m:r>
          </m:sub>
        </m:sSub>
        <m:r>
          <m:t>,…,</m:t>
        </m:r>
        <m:sSub>
          <m:e>
            <m:r>
              <m:t>x</m:t>
            </m:r>
          </m:e>
          <m:sub>
            <m:r>
              <m:t>n,j</m:t>
            </m:r>
          </m:sub>
        </m:sSub>
        <m:r>
          <m:t>}),</m:t>
        </m:r>
        <m:r>
          <m:t>∀j∈{1,…,n}</m:t>
        </m:r>
      </m:oMath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Asimismo, se formula la restricción redundante (implicada) de la suma triangular de Gauss:</w:t>
      </w:r>
    </w:p>
    <w:p>
      <w:pPr>
        <w:spacing w:before="60" w:after="60"/>
        <w:jc w:val="center"/>
      </w:pP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i,j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n(n+1)</m:t>
            </m:r>
          </m:num>
          <m:den>
            <m:r>
              <m:t>2</m:t>
            </m:r>
          </m:den>
        </m:f>
        <m:r>
          <m:t>,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i,j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n(n+1)</m:t>
            </m:r>
          </m:num>
          <m:den>
            <m:r>
              <m:t>2</m:t>
            </m:r>
          </m:den>
        </m:f>
      </m:oMath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la cual acelera la propagación de cotas lineales en órdenes superiores (</w:t>
      </w:r>
      <m:oMath>
        <m:r>
          <m:t>n=9</m:t>
        </m:r>
      </m:oMath>
      <w:r>
        <w:rPr>
          <w:rFonts w:ascii="Times New Roman" w:hAnsi="Times New Roman"/>
          <w:b w:val="0"/>
          <w:i w:val="0"/>
          <w:sz w:val="19"/>
        </w:rPr>
        <w:t>).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C. Variante A: Modelado Aritmético Intensional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Descompone las restricciones locales según la naturaleza matemática de cada jaula </w:t>
      </w:r>
      <m:oMath>
        <m:r>
          <m:t>c</m:t>
        </m:r>
      </m:oMath>
      <w:r>
        <w:rPr>
          <w:rFonts w:ascii="Times New Roman" w:hAnsi="Times New Roman"/>
          <w:b w:val="0"/>
          <w:i w:val="0"/>
          <w:sz w:val="19"/>
        </w:rPr>
        <w:t>: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Identidad ($=$):</w:t>
      </w:r>
      <w:r>
        <w:rPr>
          <w:rFonts w:ascii="Times New Roman" w:hAnsi="Times New Roman"/>
          <w:b w:val="0"/>
          <w:i w:val="0"/>
          <w:sz w:val="19"/>
        </w:rPr>
        <w:t xml:space="preserve"> Para </w:t>
      </w:r>
      <m:oMath>
        <m:r>
          <m:t>|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t>|=1</m:t>
        </m:r>
      </m:oMath>
      <w:r>
        <w:rPr>
          <w:rFonts w:ascii="Times New Roman" w:hAnsi="Times New Roman"/>
          <w:b w:val="0"/>
          <w:i w:val="0"/>
          <w:sz w:val="19"/>
        </w:rPr>
        <w:t>:</w:t>
      </w:r>
    </w:p>
    <w:p>
      <w:pPr>
        <w:spacing w:before="60" w:after="60"/>
        <w:jc w:val="center"/>
      </w:pPr>
      <m:oMath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∈</m:t>
        </m:r>
        <m:sSub>
          <m:e>
            <m:r>
              <m:t>V</m:t>
            </m:r>
          </m:e>
          <m:sub>
            <m:r>
              <m:t>c</m:t>
            </m:r>
          </m:sub>
        </m:sSub>
      </m:oMath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Suma ($+$):</w:t>
      </w:r>
      <w:r>
        <w:rPr>
          <w:rFonts w:ascii="Times New Roman" w:hAnsi="Times New Roman"/>
          <w:b w:val="0"/>
          <w:i w:val="0"/>
          <w:sz w:val="19"/>
        </w:rPr>
        <w:t xml:space="preserve"> Restricción afín lineal global:</w:t>
      </w:r>
    </w:p>
    <w:p>
      <w:pPr>
        <w:spacing w:before="60" w:after="60"/>
        <w:jc w:val="center"/>
      </w:pPr>
      <m:oMath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v∈</m:t>
            </m:r>
            <m:sSub>
              <m:e>
                <m:r>
                  <m:t>V</m:t>
                </m:r>
              </m:e>
              <m:sub>
                <m:r>
                  <m:t>c</m:t>
                </m:r>
              </m:sub>
            </m:sSub>
          </m:sub>
          <m:sup/>
          <m:e>
            <m:r>
              <m:t>v=</m:t>
            </m:r>
          </m:e>
        </m:nary>
        <m:sSub>
          <m:e>
            <m:r>
              <m:t>T</m:t>
            </m:r>
          </m:e>
          <m:sub>
            <m:r>
              <m:t>c</m:t>
            </m:r>
          </m:sub>
        </m:sSub>
      </m:oMath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Multiplicación ($\times$):</w:t>
      </w:r>
      <w:r>
        <w:rPr>
          <w:rFonts w:ascii="Times New Roman" w:hAnsi="Times New Roman"/>
          <w:b w:val="0"/>
          <w:i w:val="0"/>
          <w:sz w:val="19"/>
        </w:rPr>
        <w:t xml:space="preserve"> Descomposición encadenada mediante variables auxiliares enteras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t>∈[1,</m:t>
        </m:r>
        <m:sSup>
          <m:e>
            <m:r>
              <m:t>n</m:t>
            </m:r>
          </m:e>
          <m:sup>
            <m:r>
              <m:t>k+1</m:t>
            </m:r>
          </m:sup>
        </m:sSup>
        <m:r>
          <m:t>]</m:t>
        </m:r>
      </m:oMath>
      <w:r>
        <w:rPr>
          <w:rFonts w:ascii="Times New Roman" w:hAnsi="Times New Roman"/>
          <w:b w:val="0"/>
          <w:i w:val="0"/>
          <w:sz w:val="19"/>
        </w:rPr>
        <w:t xml:space="preserve"> vía </w:t>
      </w:r>
      <w:r>
        <w:rPr>
          <w:rFonts w:ascii="Consolas" w:hAnsi="Consolas"/>
          <w:b w:val="0"/>
          <w:sz w:val="18"/>
        </w:rPr>
        <w:t>AddMultiplicationEquality</w:t>
      </w:r>
      <w:r>
        <w:rPr>
          <w:rFonts w:ascii="Times New Roman" w:hAnsi="Times New Roman"/>
          <w:b w:val="0"/>
          <w:i w:val="0"/>
          <w:sz w:val="19"/>
        </w:rPr>
        <w:t>:</w:t>
      </w:r>
    </w:p>
    <w:p>
      <w:pPr>
        <w:spacing w:before="60" w:after="60"/>
        <w:jc w:val="center"/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·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;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=</m:t>
        </m:r>
        <m:sSub>
          <m:e>
            <m:r>
              <m:t>p</m:t>
            </m:r>
          </m:e>
          <m:sub>
            <m:r>
              <m:t>k−1</m:t>
            </m:r>
          </m:sub>
        </m:sSub>
        <m:r>
          <m:t>·</m:t>
        </m:r>
        <m:sSub>
          <m:e>
            <m:r>
              <m:t>v</m:t>
            </m:r>
          </m:e>
          <m:sub>
            <m:r>
              <m:t>k+1</m:t>
            </m:r>
          </m:sub>
        </m:sSub>
        <m:r>
          <m:t>(k≥2);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t>=</m:t>
        </m:r>
        <m:sSub>
          <m:e>
            <m:r>
              <m:t>p</m:t>
            </m:r>
          </m:e>
          <m:sub>
            <m:r>
              <m:t>|</m:t>
            </m:r>
            <m:sSub>
              <m:e>
                <m:r>
                  <m:t>V</m:t>
                </m:r>
              </m:e>
              <m:sub>
                <m:r>
                  <m:t>c</m:t>
                </m:r>
              </m:sub>
            </m:sSub>
            <m:r>
              <m:t>|−2</m:t>
            </m:r>
          </m:sub>
        </m:sSub>
        <m:r>
          <m:t>·</m:t>
        </m:r>
        <m:sSub>
          <m:e>
            <m:r>
              <m:t>v</m:t>
            </m:r>
          </m:e>
          <m:sub>
            <m:d>
              <m:dPr>
                <m:begChr m:val="|"/>
                <m:sepChr m:val=""/>
                <m:endChr m:val="|"/>
              </m:dPr>
              <m:e>
                <m:sSub>
                  <m:e>
                    <m:r>
                      <m:t>V</m:t>
                    </m:r>
                  </m:e>
                  <m:sub>
                    <m:r>
                      <m:t>c</m:t>
                    </m:r>
                  </m:sub>
                </m:sSub>
              </m:e>
            </m:d>
          </m:sub>
        </m:sSub>
      </m:oMath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Diferencia Absoluta ($-$):</w:t>
      </w:r>
      <w:r>
        <w:rPr>
          <w:rFonts w:ascii="Times New Roman" w:hAnsi="Times New Roman"/>
          <w:b w:val="0"/>
          <w:i w:val="0"/>
          <w:sz w:val="19"/>
        </w:rPr>
        <w:t xml:space="preserve"> Para </w:t>
      </w:r>
      <m:oMath>
        <m:r>
          <m:t>|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t>|=2</m:t>
        </m:r>
      </m:oMath>
      <w:r>
        <w:rPr>
          <w:rFonts w:ascii="Times New Roman" w:hAnsi="Times New Roman"/>
          <w:b w:val="0"/>
          <w:i w:val="0"/>
          <w:sz w:val="19"/>
        </w:rPr>
        <w:t>:</w:t>
      </w:r>
    </w:p>
    <w:p>
      <w:pPr>
        <w:spacing w:before="60" w:after="60"/>
        <w:jc w:val="center"/>
      </w:pPr>
      <m:oMath>
        <m:r>
          <m:t>|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|=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t>⟺</m:t>
        </m:r>
        <m:r>
          <m:rPr>
            <m:nor/>
          </m:rPr>
          <m:t>AddAbsEquality</m:t>
        </m:r>
        <m:r>
          <m:t>(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)</m:t>
        </m:r>
      </m:oMath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División Reificada ($\div$):</w:t>
      </w:r>
      <w:r>
        <w:rPr>
          <w:rFonts w:ascii="Times New Roman" w:hAnsi="Times New Roman"/>
          <w:b w:val="0"/>
          <w:i w:val="0"/>
          <w:sz w:val="19"/>
        </w:rPr>
        <w:t xml:space="preserve"> Como el orden de operandos no está predefinido en la imagen, se formula mediante reificación lógica con una variable booleana de dirección </w:t>
      </w:r>
      <m:oMath>
        <m:sSub>
          <m:e>
            <m:r>
              <m:t>b</m:t>
            </m:r>
          </m:e>
          <m:sub>
            <m:r>
              <m:rPr>
                <m:nor/>
              </m:rPr>
              <m:t>dir</m:t>
            </m:r>
          </m:sub>
        </m:sSub>
        <m:r>
          <m:t>∈{0,1}</m:t>
        </m:r>
      </m:oMath>
      <w:r>
        <w:rPr>
          <w:rFonts w:ascii="Times New Roman" w:hAnsi="Times New Roman"/>
          <w:b w:val="0"/>
          <w:i w:val="0"/>
          <w:sz w:val="19"/>
        </w:rPr>
        <w:t xml:space="preserve"> y </w:t>
      </w:r>
      <w:r>
        <w:rPr>
          <w:rFonts w:ascii="Consolas" w:hAnsi="Consolas"/>
          <w:b w:val="0"/>
          <w:sz w:val="18"/>
        </w:rPr>
        <w:t>OnlyEnforceIf</w:t>
      </w:r>
      <w:r>
        <w:rPr>
          <w:rFonts w:ascii="Times New Roman" w:hAnsi="Times New Roman"/>
          <w:b w:val="0"/>
          <w:i w:val="0"/>
          <w:sz w:val="19"/>
        </w:rPr>
        <w:t>:</w:t>
      </w:r>
    </w:p>
    <w:p>
      <w:pPr>
        <w:spacing w:before="60" w:after="60"/>
        <w:jc w:val="center"/>
      </w:pPr>
      <m:oMath>
        <m:sSub>
          <m:e>
            <m:r>
              <m:t>b</m:t>
            </m:r>
          </m:e>
          <m:sub>
            <m:r>
              <m:rPr>
                <m:nor/>
              </m:rPr>
              <m:t>dir</m:t>
            </m:r>
          </m:sub>
        </m:sSub>
        <m:r>
          <m:t>⟹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t>·</m:t>
        </m:r>
        <m:sSub>
          <m:e>
            <m:r>
              <m:t>v</m:t>
            </m:r>
          </m:e>
          <m:sub>
            <m:r>
              <m:t>2</m:t>
            </m:r>
          </m:sub>
        </m:sSub>
      </m:oMath>
    </w:p>
    <w:p>
      <w:pPr>
        <w:spacing w:before="60" w:after="60"/>
        <w:jc w:val="center"/>
      </w:pPr>
      <m:oMath>
        <m:r>
          <m:t>¬</m:t>
        </m:r>
        <m:sSub>
          <m:e>
            <m:r>
              <m:t>b</m:t>
            </m:r>
          </m:e>
          <m:sub>
            <m:r>
              <m:rPr>
                <m:nor/>
              </m:rPr>
              <m:t>dir</m:t>
            </m:r>
          </m:sub>
        </m:sSub>
        <m:r>
          <m:t>⟹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t>·</m:t>
        </m:r>
        <m:sSub>
          <m:e>
            <m:r>
              <m:t>v</m:t>
            </m:r>
          </m:e>
          <m:sub>
            <m:r>
              <m:t>1</m:t>
            </m:r>
          </m:sub>
        </m:sSub>
      </m:oMath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D. Variante B: Restricciones Globales Extensionales de Tabla (GAC)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En la Variante B, cada jaula se modela extensionalmente a través de la enumeración previa de las asignaciones factibles </w:t>
      </w:r>
      <m:oMath>
        <m:sSub>
          <m:e>
            <m:r>
              <m:t>𝒯</m:t>
            </m:r>
          </m:e>
          <m:sub>
            <m:r>
              <m:t>c</m:t>
            </m:r>
          </m:sub>
        </m:sSub>
        <m:r>
          <m:t>⊂{1,…,n</m:t>
        </m:r>
        <m:sSup>
          <m:e>
            <m:r>
              <m:t>}</m:t>
            </m:r>
          </m:e>
          <m:sup>
            <m:d>
              <m:dPr>
                <m:begChr m:val="|"/>
                <m:sepChr m:val=""/>
                <m:endChr m:val="|"/>
              </m:dPr>
              <m:e>
                <m:sSub>
                  <m:e>
                    <m:r>
                      <m:t>V</m:t>
                    </m:r>
                  </m:e>
                  <m:sub>
                    <m:r>
                      <m:t>c</m:t>
                    </m:r>
                  </m:sub>
                </m:sSub>
              </m:e>
            </m:d>
          </m:sup>
        </m:sSup>
      </m:oMath>
      <w:r>
        <w:rPr>
          <w:rFonts w:ascii="Times New Roman" w:hAnsi="Times New Roman"/>
          <w:b w:val="0"/>
          <w:i w:val="0"/>
          <w:sz w:val="19"/>
        </w:rPr>
        <w:t xml:space="preserve">, aplicando </w:t>
      </w:r>
      <w:r>
        <w:rPr>
          <w:rFonts w:ascii="Consolas" w:hAnsi="Consolas"/>
          <w:b w:val="0"/>
          <w:sz w:val="18"/>
        </w:rPr>
        <w:t>AddAllowedAssignments</w:t>
      </w:r>
      <w:r>
        <w:rPr>
          <w:rFonts w:ascii="Times New Roman" w:hAnsi="Times New Roman"/>
          <w:b w:val="0"/>
          <w:i w:val="0"/>
          <w:sz w:val="19"/>
        </w:rPr>
        <w:t>:</w:t>
      </w:r>
    </w:p>
    <w:p>
      <w:pPr>
        <w:spacing w:before="60" w:after="60"/>
        <w:jc w:val="center"/>
      </w:pPr>
      <m:oMath>
        <m:r>
          <m:rPr>
            <m:nor/>
          </m:rPr>
          <m:t>AllowedAssignments</m:t>
        </m:r>
        <m:r>
          <m:t>(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t>,</m:t>
        </m:r>
        <m:sSub>
          <m:e>
            <m:r>
              <m:t>𝒯</m:t>
            </m:r>
          </m:e>
          <m:sub>
            <m:r>
              <m:t>c</m:t>
            </m:r>
          </m:sub>
        </m:sSub>
        <m:r>
          <m:t>)</m:t>
        </m:r>
      </m:oMath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El compilador de la tabla aplica filtrado topológico a priori: si dos celdas de la jaula pertenecen a la misma fila o columna de la cuadrícula, cualquier tupla que asigne valores idénticos entre ellas es descartada antes de entrar al solver. Esto garantiza </w:t>
      </w:r>
      <w:r>
        <w:rPr>
          <w:rFonts w:ascii="Times New Roman" w:hAnsi="Times New Roman"/>
          <w:b/>
          <w:i w:val="0"/>
          <w:sz w:val="19"/>
        </w:rPr>
        <w:t>Consistencia de Arco Generalizada (GAC)</w:t>
      </w:r>
      <w:r>
        <w:rPr>
          <w:rFonts w:ascii="Times New Roman" w:hAnsi="Times New Roman"/>
          <w:b w:val="0"/>
          <w:i w:val="0"/>
          <w:sz w:val="19"/>
        </w:rPr>
        <w:t xml:space="preserve"> en el nodo raíz sin requerir variables auxiliares.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E. Variante C: Inferencia Conjunta Neuro-Simbólica (MAP) con Regularización $\ell_0$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Para tolerar fallos sensoriales del OCR, se formula un problema de Máxima Verosimilitud Consistente (MAP). Para cada jaula </w:t>
      </w:r>
      <m:oMath>
        <m:r>
          <m:t>c</m:t>
        </m:r>
      </m:oMath>
      <w:r>
        <w:rPr>
          <w:rFonts w:ascii="Times New Roman" w:hAnsi="Times New Roman"/>
          <w:b w:val="0"/>
          <w:i w:val="0"/>
          <w:sz w:val="19"/>
        </w:rPr>
        <w:t xml:space="preserve"> con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/>
          <w:b w:val="0"/>
          <w:i w:val="0"/>
          <w:sz w:val="19"/>
        </w:rPr>
        <w:t xml:space="preserve"> candidatos de lectura y probabilidades normalizadas </w:t>
      </w:r>
      <m:oMath>
        <m:sSub>
          <m:e>
            <m:r>
              <m:t>P</m:t>
            </m:r>
          </m:e>
          <m:sub>
            <m:r>
              <m:t>c,k</m:t>
            </m:r>
          </m:sub>
        </m:sSub>
      </m:oMath>
      <w:r>
        <w:rPr>
          <w:rFonts w:ascii="Times New Roman" w:hAnsi="Times New Roman"/>
          <w:b w:val="0"/>
          <w:i w:val="0"/>
          <w:sz w:val="19"/>
        </w:rPr>
        <w:t>, se introducen variables booleanas indicadoras:</w:t>
      </w:r>
    </w:p>
    <w:p>
      <w:pPr>
        <w:spacing w:before="60" w:after="60"/>
        <w:jc w:val="center"/>
      </w:pPr>
      <m:oMath>
        <m:sSub>
          <m:e>
            <m:r>
              <m:t>r</m:t>
            </m:r>
          </m:e>
          <m:sub>
            <m:r>
              <m:t>c,k</m:t>
            </m:r>
          </m:sub>
        </m:sSub>
        <m:r>
          <m:t>∈{0,1},</m:t>
        </m:r>
        <m:r>
          <m:t>∀c∈𝒞,</m:t>
        </m:r>
        <m:r>
          <m:t>∀k∈{0,…,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t>−1}</m:t>
        </m:r>
      </m:oMath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sujetas a selección única:</w:t>
      </w:r>
    </w:p>
    <w:p>
      <w:pPr>
        <w:spacing w:before="60" w:after="60"/>
        <w:jc w:val="center"/>
      </w:pPr>
      <m:oMath>
        <m:r>
          <m:rPr>
            <m:nor/>
          </m:rPr>
          <m:t>ExactlyOne</m:t>
        </m:r>
        <m:r>
          <m:t>({</m:t>
        </m:r>
        <m:sSub>
          <m:e>
            <m:r>
              <m:t>r</m:t>
            </m:r>
          </m:e>
          <m:sub>
            <m:r>
              <m:t>c,0</m:t>
            </m:r>
          </m:sub>
        </m:sSub>
        <m:r>
          <m:t>,</m:t>
        </m:r>
        <m:sSub>
          <m:e>
            <m:r>
              <m:t>r</m:t>
            </m:r>
          </m:e>
          <m:sub>
            <m:r>
              <m:t>c,1</m:t>
            </m:r>
          </m:sub>
        </m:sSub>
        <m:r>
          <m:t>,…,</m:t>
        </m:r>
        <m:sSub>
          <m:e>
            <m:r>
              <m:t>r</m:t>
            </m:r>
          </m:e>
          <m:sub>
            <m:r>
              <m:t>c,</m:t>
            </m:r>
            <m:sSub>
              <m:e>
                <m:r>
                  <m:t>K</m:t>
                </m:r>
              </m:e>
              <m:sub>
                <m:r>
                  <m:t>c</m:t>
                </m:r>
              </m:sub>
            </m:sSub>
            <m:r>
              <m:t>−1</m:t>
            </m:r>
          </m:sub>
        </m:sSub>
        <m:r>
          <m:t>}),</m:t>
        </m:r>
        <m:r>
          <m:t>∀c∈𝒞</m:t>
        </m:r>
      </m:oMath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Las condiciones de cada hipótesis se activan mediante reificación condicional con </w:t>
      </w:r>
      <w:r>
        <w:rPr>
          <w:rFonts w:ascii="Consolas" w:hAnsi="Consolas"/>
          <w:b w:val="0"/>
          <w:sz w:val="18"/>
        </w:rPr>
        <w:t>OnlyEnforceIf</w:t>
      </w:r>
      <w:r>
        <w:rPr>
          <w:rFonts w:ascii="Times New Roman" w:hAnsi="Times New Roman"/>
          <w:b w:val="0"/>
          <w:i w:val="0"/>
          <w:sz w:val="19"/>
        </w:rPr>
        <w:t>:</w:t>
      </w:r>
    </w:p>
    <w:p>
      <w:pPr>
        <w:spacing w:before="60" w:after="60"/>
        <w:jc w:val="center"/>
      </w:pPr>
      <m:oMath>
        <m:sSub>
          <m:e>
            <m:r>
              <m:t>r</m:t>
            </m:r>
          </m:e>
          <m:sub>
            <m:r>
              <m:t>c,k</m:t>
            </m:r>
          </m:sub>
        </m:sSub>
        <m:r>
          <m:t>⟹𝒜(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t>,</m:t>
        </m:r>
        <m:sSub>
          <m:e>
            <m:r>
              <m:t>T</m:t>
            </m:r>
          </m:e>
          <m:sub>
            <m:r>
              <m:t>c,k</m:t>
            </m:r>
          </m:sub>
        </m:sSub>
        <m:r>
          <m:t>,</m:t>
        </m:r>
        <m:sSub>
          <m:e>
            <m:r>
              <m:rPr>
                <m:nor/>
              </m:rPr>
              <m:t>op</m:t>
            </m:r>
          </m:e>
          <m:sub>
            <m:r>
              <m:t>c,k</m:t>
            </m:r>
          </m:sub>
        </m:sSub>
        <m:r>
          <m:t>)</m:t>
        </m:r>
      </m:oMath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Para evitar que el solver altere jaulas arbitrariamente inventando acertijos espurios, se incorpora una </w:t>
      </w:r>
      <w:r>
        <w:rPr>
          <w:rFonts w:ascii="Times New Roman" w:hAnsi="Times New Roman"/>
          <w:b/>
          <w:i w:val="0"/>
          <w:sz w:val="19"/>
        </w:rPr>
        <w:t>penalización $\ell_0$ constante</w:t>
      </w:r>
      <w:r>
        <w:rPr>
          <w:rFonts w:ascii="Times New Roman" w:hAnsi="Times New Roman"/>
          <w:b w:val="0"/>
          <w:i w:val="0"/>
          <w:sz w:val="19"/>
        </w:rPr>
        <w:t xml:space="preserve"> (</w:t>
      </w:r>
      <m:oMath>
        <m:sSub>
          <m:e>
            <m:r>
              <m:t>λ</m:t>
            </m:r>
          </m:e>
          <m:sub>
            <m:r>
              <m:rPr>
                <m:nor/>
              </m:rPr>
              <m:t>change</m:t>
            </m:r>
          </m:sub>
        </m:sSub>
        <m:r>
          <m:t>=1.5</m:t>
        </m:r>
      </m:oMath>
      <w:r>
        <w:rPr>
          <w:rFonts w:ascii="Times New Roman" w:hAnsi="Times New Roman"/>
          <w:b w:val="0"/>
          <w:i w:val="0"/>
          <w:sz w:val="19"/>
        </w:rPr>
        <w:t>, escalada a 1500 unidades enteras):</w:t>
      </w:r>
    </w:p>
    <w:p>
      <w:pPr>
        <w:spacing w:before="60" w:after="60"/>
        <w:jc w:val="center"/>
      </w:pPr>
      <m:oMath>
        <m:r>
          <m:t>max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c∈𝒞</m:t>
            </m:r>
          </m:sub>
          <m:sup/>
          <m:e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k=0</m:t>
                </m:r>
              </m:sub>
              <m:sup>
                <m:sSub>
                  <m:e>
                    <m:r>
                      <m:t>K</m:t>
                    </m:r>
                  </m:e>
                  <m:sub>
                    <m:r>
                      <m:t>c</m:t>
                    </m:r>
                  </m:sub>
                </m:sSub>
                <m:r>
                  <m:t>−1</m:t>
                </m:r>
              </m:sup>
              <m:e>
                <m:sSub>
                  <m:e>
                    <m:r>
                      <m:t>r</m:t>
                    </m:r>
                  </m:e>
                  <m:sub>
                    <m:r>
                      <m:t>c,k</m:t>
                    </m:r>
                  </m:sub>
                </m:sSub>
              </m:e>
            </m:nary>
          </m:e>
        </m:nary>
        <m:r>
          <m:t>·</m:t>
        </m:r>
        <m:d>
          <m:dPr>
            <m:sepChr m:val=""/>
          </m:dPr>
          <m:e>
            <m:r>
              <m:t>⌊</m:t>
            </m:r>
            <m:r>
              <m:t>1000</m:t>
            </m:r>
            <m:r>
              <m:t>·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c,k</m:t>
                </m:r>
              </m:sub>
            </m:sSub>
            <m:r>
              <m:t>⌋</m:t>
            </m:r>
            <m:r>
              <m:t>−</m:t>
            </m:r>
            <m:sSub>
              <m:e>
                <m:r>
                  <m:t>1</m:t>
                </m:r>
              </m:e>
              <m:sub>
                <m:d>
                  <m:dPr>
                    <m:begChr m:val="{"/>
                    <m:sepChr m:val="&gt;"/>
                    <m:endChr m:val="}"/>
                  </m:dPr>
                  <m:e>
                    <m:r>
                      <m:t>k</m:t>
                    </m:r>
                  </m:e>
                  <m:e>
                    <m:r>
                      <m:t>0</m:t>
                    </m:r>
                  </m:e>
                </m:d>
              </m:sub>
            </m:sSub>
            <m:r>
              <m:t>·</m:t>
            </m:r>
            <m:r>
              <m:t>1500</m:t>
            </m:r>
          </m:e>
        </m:d>
      </m:oMath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El solver cuantifica el total de jaulas ajustadas:</w:t>
      </w:r>
    </w:p>
    <w:p>
      <w:pPr>
        <w:spacing w:before="60" w:after="60"/>
        <w:jc w:val="center"/>
      </w:pPr>
      <m:oMath>
        <m:sSub>
          <m:e>
            <m:r>
              <m:t>M</m:t>
            </m:r>
          </m:e>
          <m:sub>
            <m:r>
              <m:rPr>
                <m:nor/>
              </m:rPr>
              <m:t>corregidas</m:t>
            </m:r>
          </m:sub>
        </m:sSub>
        <m:r>
          <m:t>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c∈𝒞</m:t>
            </m:r>
          </m:sub>
          <m:sup/>
          <m:e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k=1</m:t>
                </m:r>
              </m:sub>
              <m:sup>
                <m:sSub>
                  <m:e>
                    <m:r>
                      <m:t>K</m:t>
                    </m:r>
                  </m:e>
                  <m:sub>
                    <m:r>
                      <m:t>c</m:t>
                    </m:r>
                  </m:sub>
                </m:sSub>
                <m:r>
                  <m:t>−1</m:t>
                </m:r>
              </m:sup>
              <m:e>
                <m:sSub>
                  <m:e>
                    <m:r>
                      <m:t>r</m:t>
                    </m:r>
                  </m:e>
                  <m:sub>
                    <m:r>
                      <m:t>c,k</m:t>
                    </m:r>
                  </m:sub>
                </m:sSub>
              </m:e>
            </m:nary>
          </m:e>
        </m:nary>
      </m:oMath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IV. ANÁLISIS DE COMPLEJIDAD Y EVALUACIÓN EXPERIMENTAL DEL SOLVER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A. Complejidad Combinatoria Teórica vs. Espacio Podado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El espacio de búsqueda no restringido de una cuadrícula KenKen de orden </w:t>
      </w:r>
      <m:oMath>
        <m:r>
          <m:t>n</m:t>
        </m:r>
      </m:oMath>
      <w:r>
        <w:rPr>
          <w:rFonts w:ascii="Times New Roman" w:hAnsi="Times New Roman"/>
          <w:b w:val="0"/>
          <w:i w:val="0"/>
          <w:sz w:val="19"/>
        </w:rPr>
        <w:t xml:space="preserve"> es:</w:t>
      </w:r>
    </w:p>
    <w:p>
      <w:pPr>
        <w:spacing w:before="60" w:after="60"/>
        <w:jc w:val="center"/>
      </w:pPr>
      <m:oMath>
        <m:r>
          <m:t>|</m:t>
        </m:r>
        <m:sSub>
          <m:e>
            <m:r>
              <m:t>𝒮</m:t>
            </m:r>
          </m:e>
          <m:sub>
            <m:r>
              <m:rPr>
                <m:nor/>
              </m:rPr>
              <m:t>bruto</m:t>
            </m:r>
          </m:sub>
        </m:sSub>
        <m:r>
          <m:t>|=</m:t>
        </m:r>
        <m:sSup>
          <m:e>
            <m:r>
              <m:t>n</m:t>
            </m:r>
          </m:e>
          <m:sup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  <m:r>
          <m:t>=𝒪(</m:t>
        </m:r>
        <m:sSup>
          <m:e>
            <m:r>
              <m:t>n</m:t>
            </m:r>
          </m:e>
          <m:sup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sup>
        </m:sSup>
        <m:r>
          <m:t>)</m:t>
        </m:r>
      </m:oMath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Para </w:t>
      </w:r>
      <m:oMath>
        <m:r>
          <m:t>n=3</m:t>
        </m:r>
      </m:oMath>
      <w:r>
        <w:rPr>
          <w:rFonts w:ascii="Times New Roman" w:hAnsi="Times New Roman"/>
          <w:b w:val="0"/>
          <w:i w:val="0"/>
          <w:sz w:val="19"/>
        </w:rPr>
        <w:t xml:space="preserve">, </w:t>
      </w:r>
      <m:oMath>
        <m:r>
          <m:t>|𝒮|=</m:t>
        </m:r>
        <m:sSup>
          <m:e>
            <m:r>
              <m:t>3</m:t>
            </m:r>
          </m:e>
          <m:sup>
            <m:r>
              <m:t>9</m:t>
            </m:r>
          </m:sup>
        </m:sSup>
        <m:r>
          <m:t>=19,683</m:t>
        </m:r>
      </m:oMath>
      <w:r>
        <w:rPr>
          <w:rFonts w:ascii="Times New Roman" w:hAnsi="Times New Roman"/>
          <w:b w:val="0"/>
          <w:i w:val="0"/>
          <w:sz w:val="19"/>
        </w:rPr>
        <w:t xml:space="preserve">. Para </w:t>
      </w:r>
      <m:oMath>
        <m:r>
          <m:t>n=9</m:t>
        </m:r>
      </m:oMath>
      <w:r>
        <w:rPr>
          <w:rFonts w:ascii="Times New Roman" w:hAnsi="Times New Roman"/>
          <w:b w:val="0"/>
          <w:i w:val="0"/>
          <w:sz w:val="19"/>
        </w:rPr>
        <w:t xml:space="preserve">, el espacio combinatorial alcanza </w:t>
      </w:r>
      <m:oMath>
        <m:sSup>
          <m:e>
            <m:r>
              <m:t>9</m:t>
            </m:r>
          </m:e>
          <m:sup>
            <m:r>
              <m:t>81</m:t>
            </m:r>
          </m:sup>
        </m:sSup>
        <m:r>
          <m:t>≈1.96×</m:t>
        </m:r>
        <m:sSup>
          <m:e>
            <m:r>
              <m:t>10</m:t>
            </m:r>
          </m:e>
          <m:sup>
            <m:r>
              <m:t>77</m:t>
            </m:r>
          </m:sup>
        </m:sSup>
      </m:oMath>
      <w:r>
        <w:rPr>
          <w:rFonts w:ascii="Times New Roman" w:hAnsi="Times New Roman"/>
          <w:b w:val="0"/>
          <w:i w:val="0"/>
          <w:sz w:val="19"/>
        </w:rPr>
        <w:t xml:space="preserve"> estados brutos (magnitud comparable al número de átomos en el universo observable).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Al incorporar las restricciones de permutación por filas, el espacio se reduce a </w:t>
      </w:r>
      <m:oMath>
        <m:sSup>
          <m:e>
            <m:d>
              <m:dPr>
                <m:sepChr m:val=""/>
              </m:dPr>
              <m:e>
                <m:r>
                  <m:t>n</m:t>
                </m:r>
                <m:r>
                  <m:t>!</m:t>
                </m:r>
              </m:e>
            </m:d>
          </m:e>
          <m:sup>
            <m:r>
              <m:t>n</m:t>
            </m:r>
          </m:sup>
        </m:sSup>
      </m:oMath>
      <w:r>
        <w:rPr>
          <w:rFonts w:ascii="Times New Roman" w:hAnsi="Times New Roman"/>
          <w:b w:val="0"/>
          <w:i w:val="0"/>
          <w:sz w:val="19"/>
        </w:rPr>
        <w:t xml:space="preserve"> (</w:t>
      </w:r>
      <m:oMath>
        <m:r>
          <m:t>1.09×</m:t>
        </m:r>
        <m:sSup>
          <m:e>
            <m:r>
              <m:t>10</m:t>
            </m:r>
          </m:e>
          <m:sup>
            <m:r>
              <m:t>50</m:t>
            </m:r>
          </m:sup>
        </m:sSup>
      </m:oMath>
      <w:r>
        <w:rPr>
          <w:rFonts w:ascii="Times New Roman" w:hAnsi="Times New Roman"/>
          <w:b w:val="0"/>
          <w:i w:val="0"/>
          <w:sz w:val="19"/>
        </w:rPr>
        <w:t xml:space="preserve"> en </w:t>
      </w:r>
      <m:oMath>
        <m:r>
          <m:t>n=9</m:t>
        </m:r>
      </m:oMath>
      <w:r>
        <w:rPr>
          <w:rFonts w:ascii="Times New Roman" w:hAnsi="Times New Roman"/>
          <w:b w:val="0"/>
          <w:i w:val="0"/>
          <w:sz w:val="19"/>
        </w:rPr>
        <w:t xml:space="preserve">). Las restricciones de columnas acotan el problema al subconjunto de Cuadrados Latinos </w:t>
      </w:r>
      <m:oMath>
        <m:r>
          <m:t>L(n)</m:t>
        </m:r>
      </m:oMath>
      <w:r>
        <w:rPr>
          <w:rFonts w:ascii="Times New Roman" w:hAnsi="Times New Roman"/>
          <w:b w:val="0"/>
          <w:i w:val="0"/>
          <w:sz w:val="19"/>
        </w:rPr>
        <w:t>, y las restricciones aritméticas de las jaulas reducen el espacio a una solución única.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El solver CP-SAT aprovecha la tecnología de </w:t>
      </w:r>
      <w:r>
        <w:rPr>
          <w:rFonts w:ascii="Times New Roman" w:hAnsi="Times New Roman"/>
          <w:b w:val="0"/>
          <w:i/>
          <w:sz w:val="19"/>
        </w:rPr>
        <w:t>Lazy Clause Generation</w:t>
      </w:r>
      <w:r>
        <w:rPr>
          <w:rFonts w:ascii="Times New Roman" w:hAnsi="Times New Roman"/>
          <w:b w:val="0"/>
          <w:i w:val="0"/>
          <w:sz w:val="19"/>
        </w:rPr>
        <w:t xml:space="preserve"> (LCG) y propagación de cotas para podar dominios de forma tan estricta que la solución se deduce en el </w:t>
      </w:r>
      <w:r>
        <w:rPr>
          <w:rFonts w:ascii="Times New Roman" w:hAnsi="Times New Roman"/>
          <w:b/>
          <w:i w:val="0"/>
          <w:sz w:val="19"/>
        </w:rPr>
        <w:t>nodo raíz</w:t>
      </w:r>
      <w:r>
        <w:rPr>
          <w:rFonts w:ascii="Times New Roman" w:hAnsi="Times New Roman"/>
          <w:b w:val="0"/>
          <w:i w:val="0"/>
          <w:sz w:val="19"/>
        </w:rPr>
        <w:t xml:space="preserve">, requiriendo </w:t>
      </w:r>
      <w:r>
        <w:rPr>
          <w:rFonts w:ascii="Times New Roman" w:hAnsi="Times New Roman"/>
          <w:b/>
          <w:i w:val="0"/>
          <w:sz w:val="19"/>
        </w:rPr>
        <w:t>0 ramas de backtracking</w:t>
      </w:r>
      <w:r>
        <w:rPr>
          <w:rFonts w:ascii="Times New Roman" w:hAnsi="Times New Roman"/>
          <w:b w:val="0"/>
          <w:i w:val="0"/>
          <w:sz w:val="19"/>
        </w:rPr>
        <w:t>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B. Resultados Experimentales del Benchmark CP-SAT ($n=3$ a $n=9$)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3240" cy="9189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918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both"/>
      </w:pPr>
      <w:r>
        <w:rPr>
          <w:rFonts w:ascii="Times New Roman" w:hAnsi="Times New Roman"/>
          <w:i/>
          <w:sz w:val="17"/>
        </w:rPr>
        <w:t>Fig. 4. Evaluación empírica del solver CP-SAT (n=3 a 9): tiempos de pared y espacio podado.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Se ejecutaron 12 repeticiones independientes por orden y formulación sobre tableros aleatorios generados desde </w:t>
      </w:r>
      <m:oMath>
        <m:r>
          <m:t>n=3</m:t>
        </m:r>
      </m:oMath>
      <w:r>
        <w:rPr>
          <w:rFonts w:ascii="Times New Roman" w:hAnsi="Times New Roman"/>
          <w:b w:val="0"/>
          <w:i w:val="0"/>
          <w:sz w:val="19"/>
        </w:rPr>
        <w:t xml:space="preserve"> hasta </w:t>
      </w:r>
      <m:oMath>
        <m:r>
          <m:t>n=9</m:t>
        </m:r>
      </m:oMath>
      <w:r>
        <w:rPr>
          <w:rFonts w:ascii="Times New Roman" w:hAnsi="Times New Roman"/>
          <w:b w:val="0"/>
          <w:i w:val="0"/>
          <w:sz w:val="19"/>
        </w:rPr>
        <w:t>. Los resultados cuantitativos se consolidan en la Tabla IV:</w:t>
      </w:r>
    </w:p>
    <w:p>
      <w:pPr>
        <w:spacing w:before="160" w:after="60"/>
        <w:jc w:val="center"/>
      </w:pPr>
      <w:r>
        <w:rPr>
          <w:rFonts w:ascii="Times New Roman" w:hAnsi="Times New Roman"/>
          <w:b/>
          <w:sz w:val="17"/>
        </w:rPr>
        <w:t>TABLA III. DESEMPEÑO POR CLASE: F1-SCORE (\%) EN LOS TRES BENCHMARKS EVALUADOS.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1491"/>
        <w:gridCol w:w="1491"/>
        <w:gridCol w:w="1491"/>
        <w:gridCol w:w="1491"/>
        <w:gridCol w:w="1491"/>
        <w:gridCol w:w="1491"/>
        <w:gridCol w:w="1491"/>
      </w:tblGrid>
      <w:tr>
        <w:tc>
          <w:tcPr>
            <w:tcW w:type="dxa" w:w="1491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 xml:space="preserve">Orden </w:t>
            </w:r>
            <m:oMath>
              <m:r>
                <m:t>n</m:t>
              </m:r>
            </m:oMath>
          </w:p>
        </w:tc>
        <w:tc>
          <w:tcPr>
            <w:tcW w:type="dxa" w:w="1491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 xml:space="preserve">Espacio Bruto </w:t>
            </w:r>
            <m:oMath>
              <m:sSup>
                <m:e>
                  <m:r>
                    <m:t>n</m:t>
                  </m:r>
                </m:e>
                <m:sup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</w:p>
        </w:tc>
        <w:tc>
          <w:tcPr>
            <w:tcW w:type="dxa" w:w="1491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Var. A (Intensional)</w:t>
            </w:r>
          </w:p>
        </w:tc>
        <w:tc>
          <w:tcPr>
            <w:tcW w:type="dxa" w:w="1491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Var. A + Redundante</w:t>
            </w:r>
          </w:p>
        </w:tc>
        <w:tc>
          <w:tcPr>
            <w:tcW w:type="dxa" w:w="1491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Var. B (Tabla GAC)</w:t>
            </w:r>
          </w:p>
        </w:tc>
        <w:tc>
          <w:tcPr>
            <w:tcW w:type="dxa" w:w="1491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Var. B + Redundante</w:t>
            </w:r>
          </w:p>
        </w:tc>
        <w:tc>
          <w:tcPr>
            <w:tcW w:type="dxa" w:w="1491"/>
            <w:shd w:fill="F2F2F2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Ramas Exploradas</w:t>
            </w:r>
          </w:p>
        </w:tc>
      </w:tr>
      <w:tr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3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m:oMath>
              <m:r>
                <m:t>1.97×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9.07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15.26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15.00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14.47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</w:tr>
      <w:tr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4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m:oMath>
              <m:r>
                <m:t>4.29×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10.38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14.28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15.46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14.70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</w:tr>
      <w:tr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5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m:oMath>
              <m:r>
                <m:t>2.98×</m:t>
              </m:r>
              <m:sSup>
                <m:e>
                  <m:r>
                    <m:t>10</m:t>
                  </m:r>
                </m:e>
                <m:sup>
                  <m:r>
                    <m:t>17</m:t>
                  </m:r>
                </m:sup>
              </m:sSup>
            </m:oMath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13.53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14.56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14.51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14.46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</w:tr>
      <w:tr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6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m:oMath>
              <m:r>
                <m:t>1.03×</m:t>
              </m:r>
              <m:sSup>
                <m:e>
                  <m:r>
                    <m:t>10</m:t>
                  </m:r>
                </m:e>
                <m:sup>
                  <m:r>
                    <m:t>28</m:t>
                  </m:r>
                </m:sup>
              </m:sSup>
            </m:oMath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9.54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14.39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15.42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14.22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</w:tr>
      <w:tr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7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m:oMath>
              <m:r>
                <m:t>2.56×</m:t>
              </m:r>
              <m:sSup>
                <m:e>
                  <m:r>
                    <m:t>10</m:t>
                  </m:r>
                </m:e>
                <m:sup>
                  <m:r>
                    <m:t>41</m:t>
                  </m:r>
                </m:sup>
              </m:sSup>
            </m:oMath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9.23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14.56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13.68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14.26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</w:tr>
      <w:tr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8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m:oMath>
              <m:r>
                <m:t>6.28×</m:t>
              </m:r>
              <m:sSup>
                <m:e>
                  <m:r>
                    <m:t>10</m:t>
                  </m:r>
                </m:e>
                <m:sup>
                  <m:r>
                    <m:t>57</m:t>
                  </m:r>
                </m:sup>
              </m:sSup>
            </m:oMath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12.68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14.31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13.25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12.18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</w:tr>
      <w:tr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9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m:oMath>
              <m:r>
                <m:t>1.96×</m:t>
              </m:r>
              <m:sSup>
                <m:e>
                  <m:r>
                    <m:t>10</m:t>
                  </m:r>
                </m:e>
                <m:sup>
                  <m:r>
                    <m:t>77</m:t>
                  </m:r>
                </m:sup>
              </m:sSup>
            </m:oMath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20.03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13.03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12.11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17.22 ms</w:t>
            </w:r>
          </w:p>
        </w:tc>
        <w:tc>
          <w:tcPr>
            <w:tcW w:type="dxa" w:w="1491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0</w:t>
            </w:r>
          </w:p>
        </w:tc>
      </w:tr>
    </w:tbl>
    <w:p>
      <w:pPr>
        <w:spacing w:before="0" w:after="80"/>
      </w:pP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C. Discusión de Hallazgos Empíricos del Solver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Aceleración GAC en Gran Escala (Variante B):</w:t>
      </w:r>
      <w:r>
        <w:rPr>
          <w:rFonts w:ascii="Times New Roman" w:hAnsi="Times New Roman"/>
          <w:b w:val="0"/>
          <w:i w:val="0"/>
          <w:sz w:val="19"/>
        </w:rPr>
        <w:t xml:space="preserve"> Para </w:t>
      </w:r>
      <m:oMath>
        <m:r>
          <m:t>n=9</m:t>
        </m:r>
      </m:oMath>
      <w:r>
        <w:rPr>
          <w:rFonts w:ascii="Times New Roman" w:hAnsi="Times New Roman"/>
          <w:b w:val="0"/>
          <w:i w:val="0"/>
          <w:sz w:val="19"/>
        </w:rPr>
        <w:t xml:space="preserve">, la formulación extensional de tabla (Variante B) resolvió en </w:t>
      </w:r>
      <w:r>
        <w:rPr>
          <w:rFonts w:ascii="Times New Roman" w:hAnsi="Times New Roman"/>
          <w:b/>
          <w:i w:val="0"/>
          <w:sz w:val="19"/>
        </w:rPr>
        <w:t>12.11 ms</w:t>
      </w:r>
      <w:r>
        <w:rPr>
          <w:rFonts w:ascii="Times New Roman" w:hAnsi="Times New Roman"/>
          <w:b w:val="0"/>
          <w:i w:val="0"/>
          <w:sz w:val="19"/>
        </w:rPr>
        <w:t xml:space="preserve"> frente a </w:t>
      </w:r>
      <w:r>
        <w:rPr>
          <w:rFonts w:ascii="Times New Roman" w:hAnsi="Times New Roman"/>
          <w:b/>
          <w:i w:val="0"/>
          <w:sz w:val="19"/>
        </w:rPr>
        <w:t>20.03 ms</w:t>
      </w:r>
      <w:r>
        <w:rPr>
          <w:rFonts w:ascii="Times New Roman" w:hAnsi="Times New Roman"/>
          <w:b w:val="0"/>
          <w:i w:val="0"/>
          <w:sz w:val="19"/>
        </w:rPr>
        <w:t xml:space="preserve"> de la formulación aritmética directa (Variante A), logrando una </w:t>
      </w:r>
      <w:r>
        <w:rPr>
          <w:rFonts w:ascii="Times New Roman" w:hAnsi="Times New Roman"/>
          <w:b/>
          <w:i w:val="0"/>
          <w:sz w:val="19"/>
        </w:rPr>
        <w:t>reducción del 39.5% en tiempo de ejecución</w:t>
      </w:r>
      <w:r>
        <w:rPr>
          <w:rFonts w:ascii="Times New Roman" w:hAnsi="Times New Roman"/>
          <w:b w:val="0"/>
          <w:i w:val="0"/>
          <w:sz w:val="19"/>
        </w:rPr>
        <w:t>. El filtrado GAC elimina inconsistencias antes de la propagación booleana.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Efecto de Restricciones Redundantes:</w:t>
      </w:r>
      <w:r>
        <w:rPr>
          <w:rFonts w:ascii="Times New Roman" w:hAnsi="Times New Roman"/>
          <w:b w:val="0"/>
          <w:i w:val="0"/>
          <w:sz w:val="19"/>
        </w:rPr>
        <w:t xml:space="preserve"> En tableros pequeños (</w:t>
      </w:r>
      <m:oMath>
        <m:r>
          <m:t>n≤6</m:t>
        </m:r>
      </m:oMath>
      <w:r>
        <w:rPr>
          <w:rFonts w:ascii="Times New Roman" w:hAnsi="Times New Roman"/>
          <w:b w:val="0"/>
          <w:i w:val="0"/>
          <w:sz w:val="19"/>
        </w:rPr>
        <w:t>), la suma Gaussiana introduce una sobrecarga marginal (</w:t>
      </w:r>
      <m:oMath>
        <m:r>
          <m:t>≈4</m:t>
        </m:r>
        <m:r>
          <m:rPr>
            <m:nor/>
          </m:rPr>
          <m:t> ms</m:t>
        </m:r>
      </m:oMath>
      <w:r>
        <w:rPr>
          <w:rFonts w:ascii="Times New Roman" w:hAnsi="Times New Roman"/>
          <w:b w:val="0"/>
          <w:i w:val="0"/>
          <w:sz w:val="19"/>
        </w:rPr>
        <w:t xml:space="preserve">). Sin embargo, para </w:t>
      </w:r>
      <m:oMath>
        <m:r>
          <m:t>n=9</m:t>
        </m:r>
      </m:oMath>
      <w:r>
        <w:rPr>
          <w:rFonts w:ascii="Times New Roman" w:hAnsi="Times New Roman"/>
          <w:b w:val="0"/>
          <w:i w:val="0"/>
          <w:sz w:val="19"/>
        </w:rPr>
        <w:t xml:space="preserve"> acelera la formulación intensional en un </w:t>
      </w:r>
      <m:oMath>
        <m:r>
          <m:t>35%</m:t>
        </m:r>
      </m:oMath>
      <w:r>
        <w:rPr>
          <w:rFonts w:ascii="Times New Roman" w:hAnsi="Times New Roman"/>
          <w:b w:val="0"/>
          <w:i w:val="0"/>
          <w:sz w:val="19"/>
        </w:rPr>
        <w:t xml:space="preserve"> (</w:t>
      </w:r>
      <m:oMath>
        <m:r>
          <m:t>20.03</m:t>
        </m:r>
        <m:r>
          <m:rPr>
            <m:nor/>
          </m:rPr>
          <m:t> ms</m:t>
        </m:r>
        <m:r>
          <m:t>→13.03</m:t>
        </m:r>
        <m:r>
          <m:rPr>
            <m:nor/>
          </m:rPr>
          <m:t> ms</m:t>
        </m:r>
      </m:oMath>
      <w:r>
        <w:rPr>
          <w:rFonts w:ascii="Times New Roman" w:hAnsi="Times New Roman"/>
          <w:b w:val="0"/>
          <w:i w:val="0"/>
          <w:sz w:val="19"/>
        </w:rPr>
        <w:t>), demostrando su valor en problemas de gran escala.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Cero Backtracking:</w:t>
      </w:r>
      <w:r>
        <w:rPr>
          <w:rFonts w:ascii="Times New Roman" w:hAnsi="Times New Roman"/>
          <w:b w:val="0"/>
          <w:i w:val="0"/>
          <w:sz w:val="19"/>
        </w:rPr>
        <w:t xml:space="preserve"> En todas las dimensiones evaluadas se observaron </w:t>
      </w:r>
      <w:r>
        <w:rPr>
          <w:rFonts w:ascii="Times New Roman" w:hAnsi="Times New Roman"/>
          <w:b/>
          <w:i w:val="0"/>
          <w:sz w:val="19"/>
        </w:rPr>
        <w:t>0 ramas y 0 conflictos</w:t>
      </w:r>
      <w:r>
        <w:rPr>
          <w:rFonts w:ascii="Times New Roman" w:hAnsi="Times New Roman"/>
          <w:b w:val="0"/>
          <w:i w:val="0"/>
          <w:sz w:val="19"/>
        </w:rPr>
        <w:t>, confirmando la efectividad del filtrado de arco en CP-SAT.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V. POLÍTICA DE FIDEDIGNIDAD, MITIGACIÓN DE DIVERGENCIA Y SEMÁFORO DE FIABILIDAD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A. El Dilema Ético-Técnico y el Fenómeno de Divergencia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En sistemas neuro-simbólicos sin regularización ocurre un fenómeno crítico: cuando una imagen está fuertemente degradada y la etiqueta real no figura entre las hipótesis Top-</w:t>
      </w:r>
      <m:oMath>
        <m:r>
          <m:t>k</m:t>
        </m:r>
      </m:oMath>
      <w:r>
        <w:rPr>
          <w:rFonts w:ascii="Times New Roman" w:hAnsi="Times New Roman"/>
          <w:b w:val="0"/>
          <w:i w:val="0"/>
          <w:sz w:val="19"/>
        </w:rPr>
        <w:t xml:space="preserve">, CP-SAT altera múltiples jaulas hacia opciones inverosímiles para satisfacer la grilla. El sistema proclama </w:t>
      </w:r>
      <w:r>
        <w:rPr>
          <w:rFonts w:ascii="Consolas" w:hAnsi="Consolas"/>
          <w:b w:val="0"/>
          <w:sz w:val="18"/>
        </w:rPr>
        <w:t>OPTIMAL</w:t>
      </w:r>
      <w:r>
        <w:rPr>
          <w:rFonts w:ascii="Times New Roman" w:hAnsi="Times New Roman"/>
          <w:b w:val="0"/>
          <w:i w:val="0"/>
          <w:sz w:val="19"/>
        </w:rPr>
        <w:t xml:space="preserve"> y </w:t>
      </w:r>
      <w:r>
        <w:rPr>
          <w:rFonts w:ascii="Consolas" w:hAnsi="Consolas"/>
          <w:b w:val="0"/>
          <w:sz w:val="18"/>
        </w:rPr>
        <w:t>solved = True</w:t>
      </w:r>
      <w:r>
        <w:rPr>
          <w:rFonts w:ascii="Times New Roman" w:hAnsi="Times New Roman"/>
          <w:b w:val="0"/>
          <w:i w:val="0"/>
          <w:sz w:val="19"/>
        </w:rPr>
        <w:t xml:space="preserve">, pero entregando la solución de un </w:t>
      </w:r>
      <w:r>
        <w:rPr>
          <w:rFonts w:ascii="Times New Roman" w:hAnsi="Times New Roman"/>
          <w:b/>
          <w:i w:val="0"/>
          <w:sz w:val="19"/>
        </w:rPr>
        <w:t>acertijo inventado</w:t>
      </w:r>
      <w:r>
        <w:rPr>
          <w:rFonts w:ascii="Times New Roman" w:hAnsi="Times New Roman"/>
          <w:b w:val="0"/>
          <w:i w:val="0"/>
          <w:sz w:val="19"/>
        </w:rPr>
        <w:t xml:space="preserve">. Este fenómeno de </w:t>
      </w:r>
      <w:r>
        <w:rPr>
          <w:rFonts w:ascii="Times New Roman" w:hAnsi="Times New Roman"/>
          <w:b/>
          <w:i w:val="0"/>
          <w:sz w:val="19"/>
        </w:rPr>
        <w:t>Divergencia (Pseudo-solución)</w:t>
      </w:r>
      <w:r>
        <w:rPr>
          <w:rFonts w:ascii="Times New Roman" w:hAnsi="Times New Roman"/>
          <w:b w:val="0"/>
          <w:i w:val="0"/>
          <w:sz w:val="19"/>
        </w:rPr>
        <w:t xml:space="preserve"> afectó al </w:t>
      </w:r>
      <m:oMath>
        <m:r>
          <m:t>32.0%</m:t>
        </m:r>
      </m:oMath>
      <w:r>
        <w:rPr>
          <w:rFonts w:ascii="Times New Roman" w:hAnsi="Times New Roman"/>
          <w:b w:val="0"/>
          <w:i w:val="0"/>
          <w:sz w:val="19"/>
        </w:rPr>
        <w:t xml:space="preserve"> del dataset de estrés.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B. Marco de Clasificación Selectiva y Opción de Rechazo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Fundamentado en la teoría de </w:t>
      </w:r>
      <w:r>
        <w:rPr>
          <w:rFonts w:ascii="Times New Roman" w:hAnsi="Times New Roman"/>
          <w:b w:val="0"/>
          <w:i/>
          <w:sz w:val="19"/>
        </w:rPr>
        <w:t>Reject Option</w:t>
      </w:r>
      <w:r>
        <w:rPr>
          <w:rFonts w:ascii="Times New Roman" w:hAnsi="Times New Roman"/>
          <w:b w:val="0"/>
          <w:i w:val="0"/>
          <w:sz w:val="19"/>
        </w:rPr>
        <w:t xml:space="preserve"> (Chow, 1970; Cortes et al., 2016), el coste de entregar un error engañoso (</w:t>
      </w:r>
      <m:oMath>
        <m:sSub>
          <m:e>
            <m:r>
              <m:t>c</m:t>
            </m:r>
          </m:e>
          <m:sub>
            <m:r>
              <m:rPr>
                <m:nor/>
              </m:rPr>
              <m:t>error</m:t>
            </m:r>
          </m:sub>
        </m:sSub>
      </m:oMath>
      <w:r>
        <w:rPr>
          <w:rFonts w:ascii="Times New Roman" w:hAnsi="Times New Roman"/>
          <w:b w:val="0"/>
          <w:i w:val="0"/>
          <w:sz w:val="19"/>
        </w:rPr>
        <w:t>) es infinitamente superior al de una abstención transparente (</w:t>
      </w:r>
      <m:oMath>
        <m:sSub>
          <m:e>
            <m:r>
              <m:t>c</m:t>
            </m:r>
          </m:e>
          <m:sub>
            <m:r>
              <m:rPr>
                <m:nor/>
              </m:rPr>
              <m:t>abstain</m:t>
            </m:r>
          </m:sub>
        </m:sSub>
      </m:oMath>
      <w:r>
        <w:rPr>
          <w:rFonts w:ascii="Times New Roman" w:hAnsi="Times New Roman"/>
          <w:b w:val="0"/>
          <w:i w:val="0"/>
          <w:sz w:val="19"/>
        </w:rPr>
        <w:t>). El sistema debe advertir con honestidad la degradación de la imagen.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C. Semáforo de Fiabilidad Informativo y Métrica de Fidelidad Visual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Para equilibrar el rescate legítimo de ambigüedades con la transparencia al usuario, se formuló la </w:t>
      </w:r>
      <w:r>
        <w:rPr>
          <w:rFonts w:ascii="Times New Roman" w:hAnsi="Times New Roman"/>
          <w:b/>
          <w:i w:val="0"/>
          <w:sz w:val="19"/>
        </w:rPr>
        <w:t>Métrica de Fidelidad Visual</w:t>
      </w:r>
      <w:r>
        <w:rPr>
          <w:rFonts w:ascii="Times New Roman" w:hAnsi="Times New Roman"/>
          <w:b w:val="0"/>
          <w:i w:val="0"/>
          <w:sz w:val="19"/>
        </w:rPr>
        <w:t>:</w:t>
      </w:r>
    </w:p>
    <w:p>
      <w:pPr>
        <w:spacing w:before="60" w:after="60"/>
        <w:jc w:val="center"/>
      </w:pPr>
      <m:oMath>
        <m:r>
          <m:rPr>
            <m:nor/>
          </m:rPr>
          <m:t>Fidelidad</m:t>
        </m:r>
        <m:r>
          <m:t>=</m:t>
        </m:r>
        <m:f>
          <m:fPr>
            <m:type m:val="bar"/>
          </m:fPr>
          <m:num>
            <m:r>
              <m:t>|𝒞|−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</m:rPr>
                  <m:t>corregidas</m:t>
                </m:r>
              </m:sub>
            </m:sSub>
          </m:num>
          <m:den>
            <m:d>
              <m:dPr>
                <m:begChr m:val="|"/>
                <m:sepChr m:val=""/>
                <m:endChr m:val="|"/>
              </m:dPr>
              <m:e>
                <m:r>
                  <m:t>𝒞</m:t>
                </m:r>
              </m:e>
            </m:d>
          </m:den>
        </m:f>
        <m:r>
          <m:t>×100%</m:t>
        </m:r>
      </m:oMath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El sistema opera bajo los siguientes principios: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No Censura de Soluciones Factibles:</w:t>
      </w:r>
      <w:r>
        <w:rPr>
          <w:rFonts w:ascii="Times New Roman" w:hAnsi="Times New Roman"/>
          <w:b w:val="0"/>
          <w:i w:val="0"/>
          <w:sz w:val="19"/>
        </w:rPr>
        <w:t xml:space="preserve"> Si CP-SAT demuestra factibilidad (</w:t>
      </w:r>
      <w:r>
        <w:rPr>
          <w:rFonts w:ascii="Consolas" w:hAnsi="Consolas"/>
          <w:b w:val="0"/>
          <w:sz w:val="18"/>
        </w:rPr>
        <w:t>OPTIMAL</w:t>
      </w:r>
      <w:r>
        <w:rPr>
          <w:rFonts w:ascii="Times New Roman" w:hAnsi="Times New Roman"/>
          <w:b w:val="0"/>
          <w:i w:val="0"/>
          <w:sz w:val="19"/>
        </w:rPr>
        <w:t>), la solución calculada siempre se proyecta (</w:t>
      </w:r>
      <w:r>
        <w:rPr>
          <w:rFonts w:ascii="Consolas" w:hAnsi="Consolas"/>
          <w:b w:val="0"/>
          <w:sz w:val="18"/>
        </w:rPr>
        <w:t>solved = True</w:t>
      </w:r>
      <w:r>
        <w:rPr>
          <w:rFonts w:ascii="Times New Roman" w:hAnsi="Times New Roman"/>
          <w:b w:val="0"/>
          <w:i w:val="0"/>
          <w:sz w:val="19"/>
        </w:rPr>
        <w:t>).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Nivel Cualitativo de Confianza: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Alta (`HIGH`):</w:t>
      </w:r>
      <w:r>
        <w:rPr>
          <w:rFonts w:ascii="Times New Roman" w:hAnsi="Times New Roman"/>
          <w:b w:val="0"/>
          <w:i w:val="0"/>
          <w:sz w:val="19"/>
        </w:rPr>
        <w:t xml:space="preserve"> 0 cambios sobre Top-1 (</w:t>
      </w:r>
      <m:oMath>
        <m:r>
          <m:t>100%</m:t>
        </m:r>
      </m:oMath>
      <w:r>
        <w:rPr>
          <w:rFonts w:ascii="Times New Roman" w:hAnsi="Times New Roman"/>
          <w:b w:val="0"/>
          <w:i w:val="0"/>
          <w:sz w:val="19"/>
        </w:rPr>
        <w:t xml:space="preserve"> fidelidad) o 1 a 3 correcciones de alta verosimilitud (</w:t>
      </w:r>
      <m:oMath>
        <m:r>
          <m:t>≥70%</m:t>
        </m:r>
      </m:oMath>
      <w:r>
        <w:rPr>
          <w:rFonts w:ascii="Times New Roman" w:hAnsi="Times New Roman"/>
          <w:b w:val="0"/>
          <w:i w:val="0"/>
          <w:sz w:val="19"/>
        </w:rPr>
        <w:t xml:space="preserve"> fidelidad).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Moderada (`MODERATE`):</w:t>
      </w:r>
      <w:r>
        <w:rPr>
          <w:rFonts w:ascii="Times New Roman" w:hAnsi="Times New Roman"/>
          <w:b w:val="0"/>
          <w:i w:val="0"/>
          <w:sz w:val="19"/>
        </w:rPr>
        <w:t xml:space="preserve"> Fidelidad entre </w:t>
      </w:r>
      <m:oMath>
        <m:r>
          <m:t>50%</m:t>
        </m:r>
      </m:oMath>
      <w:r>
        <w:rPr>
          <w:rFonts w:ascii="Times New Roman" w:hAnsi="Times New Roman"/>
          <w:b w:val="0"/>
          <w:i w:val="0"/>
          <w:sz w:val="19"/>
        </w:rPr>
        <w:t xml:space="preserve"> y </w:t>
      </w:r>
      <m:oMath>
        <m:r>
          <m:t>70%</m:t>
        </m:r>
      </m:oMath>
      <w:r>
        <w:rPr>
          <w:rFonts w:ascii="Times New Roman" w:hAnsi="Times New Roman"/>
          <w:b w:val="0"/>
          <w:i w:val="0"/>
          <w:sz w:val="19"/>
        </w:rPr>
        <w:t>, o correcciones múltiples. El sistema emite un aviso preventivo para que el usuario verifique las etiquetas ajustadas.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Baja / Divergencia Sospechada (`LOW`):</w:t>
      </w:r>
      <w:r>
        <w:rPr>
          <w:rFonts w:ascii="Times New Roman" w:hAnsi="Times New Roman"/>
          <w:b w:val="0"/>
          <w:i w:val="0"/>
          <w:sz w:val="19"/>
        </w:rPr>
        <w:t xml:space="preserve"> Fidelidad </w:t>
      </w:r>
      <m:oMath>
        <m:d>
          <m:dPr>
            <m:begChr m:val="&lt;"/>
            <m:sepChr m:val=""/>
            <m:endChr m:val=""/>
          </m:dPr>
          <m:e>
            <m:r>
              <m:t>50</m:t>
            </m:r>
            <m:r>
              <m:t>%</m:t>
            </m:r>
          </m:e>
        </m:d>
      </m:oMath>
      <w:r>
        <w:rPr>
          <w:rFonts w:ascii="Times New Roman" w:hAnsi="Times New Roman"/>
          <w:b w:val="0"/>
          <w:i w:val="0"/>
          <w:sz w:val="19"/>
        </w:rPr>
        <w:t xml:space="preserve">, se activa la bandera consultiva </w:t>
      </w:r>
      <w:r>
        <w:rPr>
          <w:rFonts w:ascii="Consolas" w:hAnsi="Consolas"/>
          <w:b w:val="0"/>
          <w:sz w:val="18"/>
        </w:rPr>
        <w:t>divergent = True</w:t>
      </w:r>
      <w:r>
        <w:rPr>
          <w:rFonts w:ascii="Times New Roman" w:hAnsi="Times New Roman"/>
          <w:b w:val="0"/>
          <w:i w:val="0"/>
          <w:sz w:val="19"/>
        </w:rPr>
        <w:t>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VI. INTEGRACIÓN DE SOFTWARE, VISUALIZACIÓN Y PROTOTIPO INTERACTIVO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A. Puente End-to-End Autónomo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El sistema integra la visión y el razonamiento de forma totalmente automática mediante la función </w:t>
      </w:r>
      <w:r>
        <w:rPr>
          <w:rFonts w:ascii="Consolas" w:hAnsi="Consolas"/>
          <w:b w:val="0"/>
          <w:sz w:val="18"/>
        </w:rPr>
        <w:t>solve_image(path, method="auto")</w:t>
      </w:r>
      <w:r>
        <w:rPr>
          <w:rFonts w:ascii="Times New Roman" w:hAnsi="Times New Roman"/>
          <w:b w:val="0"/>
          <w:i w:val="0"/>
          <w:sz w:val="19"/>
        </w:rPr>
        <w:t>: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>El pipeline de visión extrae la geometría y la lista de candidatos OCR.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>Se ejecuta un intento rápido con la Variante A sobre las predicciones Top-1.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Si el modelo es </w:t>
      </w:r>
      <w:r>
        <w:rPr>
          <w:rFonts w:ascii="Consolas" w:hAnsi="Consolas"/>
          <w:b w:val="0"/>
          <w:sz w:val="18"/>
        </w:rPr>
        <w:t>INFEASIBLE</w:t>
      </w:r>
      <w:r>
        <w:rPr>
          <w:rFonts w:ascii="Times New Roman" w:hAnsi="Times New Roman"/>
          <w:b w:val="0"/>
          <w:i w:val="0"/>
          <w:sz w:val="19"/>
        </w:rPr>
        <w:t xml:space="preserve">, conmuta automáticamente a la Variante C (MAP regularizada con </w:t>
      </w:r>
      <m:oMath>
        <m:sSub>
          <m:e>
            <m:r>
              <m:t>ℓ</m:t>
            </m:r>
          </m:e>
          <m:sub>
            <m:r>
              <m:t>0</m:t>
            </m:r>
          </m:sub>
        </m:sSub>
      </m:oMath>
      <w:r>
        <w:rPr>
          <w:rFonts w:ascii="Times New Roman" w:hAnsi="Times New Roman"/>
          <w:b w:val="0"/>
          <w:i w:val="0"/>
          <w:sz w:val="19"/>
        </w:rPr>
        <w:t>), resolviendo el acertijo sin intervención humana.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B. Proyección Gráfica de Soluciones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3240" cy="7964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_photo_8x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79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both"/>
      </w:pPr>
      <w:r>
        <w:rPr>
          <w:rFonts w:ascii="Times New Roman" w:hAnsi="Times New Roman"/>
          <w:i/>
          <w:sz w:val="17"/>
        </w:rPr>
        <w:t>Fig. 5. Resolución End-to-End proyectada sobre fotografía física de KenKen 8x8.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Se proporcionan cuatro modalidades visuales: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Modo `original`:</w:t>
      </w:r>
      <w:r>
        <w:rPr>
          <w:rFonts w:ascii="Times New Roman" w:hAnsi="Times New Roman"/>
          <w:b w:val="0"/>
          <w:i w:val="0"/>
          <w:sz w:val="19"/>
        </w:rPr>
        <w:t xml:space="preserve"> Proyecta los dígitos resueltos directamente sobre la foto física original deformando coordenadas tipográficas mediante la homografía proyectiva inversa </w:t>
      </w:r>
      <m:oMath>
        <m:sSup>
          <m:e>
            <m:r>
              <m:t>H</m:t>
            </m:r>
          </m:e>
          <m:sup>
            <m:r>
              <m:t>−1</m:t>
            </m:r>
          </m:sup>
        </m:sSup>
      </m:oMath>
      <w:r>
        <w:rPr>
          <w:rFonts w:ascii="Times New Roman" w:hAnsi="Times New Roman"/>
          <w:b w:val="0"/>
          <w:i w:val="0"/>
          <w:sz w:val="19"/>
        </w:rPr>
        <w:t>.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Modo `composite`:</w:t>
      </w:r>
      <w:r>
        <w:rPr>
          <w:rFonts w:ascii="Times New Roman" w:hAnsi="Times New Roman"/>
          <w:b w:val="0"/>
          <w:i w:val="0"/>
          <w:sz w:val="19"/>
        </w:rPr>
        <w:t xml:space="preserve"> Genera una infografía comparativa lado a lado (imagen de entrada con contorno y grilla vectorial resuelta).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Modo `clean`:</w:t>
      </w:r>
      <w:r>
        <w:rPr>
          <w:rFonts w:ascii="Times New Roman" w:hAnsi="Times New Roman"/>
          <w:b w:val="0"/>
          <w:i w:val="0"/>
          <w:sz w:val="19"/>
        </w:rPr>
        <w:t xml:space="preserve"> Cuadrícula vectorial nítida en alta resolución lista para publicación.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/>
          <w:i w:val="0"/>
          <w:sz w:val="19"/>
        </w:rPr>
        <w:t>Modo `rectified`:</w:t>
      </w:r>
      <w:r>
        <w:rPr>
          <w:rFonts w:ascii="Times New Roman" w:hAnsi="Times New Roman"/>
          <w:b w:val="0"/>
          <w:i w:val="0"/>
          <w:sz w:val="19"/>
        </w:rPr>
        <w:t xml:space="preserve"> Dígitos sobre la cuadrícula frontal rectificada.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C. Prototipo Web Interactivo Desplegado en Hugging Face Spaces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El prototipo interactivo fue empaquetado y desplegado públicamente en la nube en </w:t>
      </w:r>
      <w:r>
        <w:rPr>
          <w:rFonts w:ascii="Times New Roman" w:hAnsi="Times New Roman"/>
          <w:b/>
          <w:i w:val="0"/>
          <w:sz w:val="19"/>
        </w:rPr>
        <w:t>Hugging Face Spaces</w:t>
      </w:r>
      <w:r>
        <w:rPr>
          <w:rFonts w:ascii="Times New Roman" w:hAnsi="Times New Roman"/>
          <w:b w:val="0"/>
          <w:i w:val="0"/>
          <w:sz w:val="19"/>
        </w:rPr>
        <w:t xml:space="preserve"> utilizando Gradio: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/>
          <w:i w:val="0"/>
          <w:sz w:val="19"/>
        </w:rPr>
        <w:t>https://huggingface.co/spaces/joako2202/kenken-solver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Repositorio GitHub: </w:t>
      </w:r>
      <w:r>
        <w:rPr>
          <w:rFonts w:ascii="Times New Roman" w:hAnsi="Times New Roman"/>
          <w:b/>
          <w:i w:val="0"/>
          <w:sz w:val="19"/>
        </w:rPr>
        <w:t>https://github.com/JoanixX/kenken-vision-cp-solver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La interfaz web integra: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>Arrastrar y soltar de imágenes en tiempo real con diagnóstico de ejecución y latencia.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>Panel de transparencia neuro-simbólica con badges del semáforo de fiabilidad, porcentaje de fidelidad visual y lista de jaulas corregidas.</w:t>
      </w:r>
    </w:p>
    <w:p>
      <w:pPr>
        <w:pStyle w:val="ListBullet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Catálogo interactivo de 21 muestras operacionales (3 por cada uno de los 7 perfiles: directo, rescate MAP, perspectiva, gran escala </w:t>
      </w:r>
      <m:oMath>
        <m:r>
          <m:t>9×9</m:t>
        </m:r>
      </m:oMath>
      <w:r>
        <w:rPr>
          <w:rFonts w:ascii="Times New Roman" w:hAnsi="Times New Roman"/>
          <w:b w:val="0"/>
          <w:i w:val="0"/>
          <w:sz w:val="19"/>
        </w:rPr>
        <w:t>, rescate de estrés, aviso de verificación e infactibilidad honesta).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VII. DISCUSIÓN Y LIMITACIONES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 xml:space="preserve">El contraste entre la visión y el razonamiento simbólico evidencia que el cuello de botella del sistema reside en la percepción visual de operadores densos (particularmente </w:t>
      </w:r>
      <m:oMath>
        <m:r>
          <m:t>÷</m:t>
        </m:r>
      </m:oMath>
      <w:r>
        <w:rPr>
          <w:rFonts w:ascii="Times New Roman" w:hAnsi="Times New Roman"/>
          <w:b w:val="0"/>
          <w:i w:val="0"/>
          <w:sz w:val="19"/>
        </w:rPr>
        <w:t xml:space="preserve">, con un F1 de </w:t>
      </w:r>
      <m:oMath>
        <m:r>
          <m:t>70.87%</m:t>
        </m:r>
      </m:oMath>
      <w:r>
        <w:rPr>
          <w:rFonts w:ascii="Times New Roman" w:hAnsi="Times New Roman"/>
          <w:b w:val="0"/>
          <w:i w:val="0"/>
          <w:sz w:val="19"/>
        </w:rPr>
        <w:t xml:space="preserve"> en estrés). La inferencia conjunta MAP demostró ser crucial al elevar la recuperación de tableros del </w:t>
      </w:r>
      <m:oMath>
        <m:r>
          <m:t>4.0%</m:t>
        </m:r>
      </m:oMath>
      <w:r>
        <w:rPr>
          <w:rFonts w:ascii="Times New Roman" w:hAnsi="Times New Roman"/>
          <w:b w:val="0"/>
          <w:i w:val="0"/>
          <w:sz w:val="19"/>
        </w:rPr>
        <w:t xml:space="preserve"> al </w:t>
      </w:r>
      <m:oMath>
        <m:r>
          <m:t>58.0%</m:t>
        </m:r>
      </m:oMath>
      <w:r>
        <w:rPr>
          <w:rFonts w:ascii="Times New Roman" w:hAnsi="Times New Roman"/>
          <w:b w:val="0"/>
          <w:i w:val="0"/>
          <w:sz w:val="19"/>
        </w:rPr>
        <w:t xml:space="preserve"> en estrés extremo; no obstante, sin regularización </w:t>
      </w:r>
      <m:oMath>
        <m:sSub>
          <m:e>
            <m:r>
              <m:t>ℓ</m:t>
            </m:r>
          </m:e>
          <m:sub>
            <m:r>
              <m:t>0</m:t>
            </m:r>
          </m:sub>
        </m:sSub>
      </m:oMath>
      <w:r>
        <w:rPr>
          <w:rFonts w:ascii="Times New Roman" w:hAnsi="Times New Roman"/>
          <w:b w:val="0"/>
          <w:i w:val="0"/>
          <w:sz w:val="19"/>
        </w:rPr>
        <w:t xml:space="preserve"> puede derivar en soluciones divergentes. La introducción de la penalización </w:t>
      </w:r>
      <m:oMath>
        <m:sSub>
          <m:e>
            <m:r>
              <m:t>λ</m:t>
            </m:r>
          </m:e>
          <m:sub>
            <m:r>
              <m:rPr>
                <m:nor/>
              </m:rPr>
              <m:t>change</m:t>
            </m:r>
          </m:sub>
        </m:sSub>
        <m:r>
          <m:t>=1.5</m:t>
        </m:r>
      </m:oMath>
      <w:r>
        <w:rPr>
          <w:rFonts w:ascii="Times New Roman" w:hAnsi="Times New Roman"/>
          <w:b w:val="0"/>
          <w:i w:val="0"/>
          <w:sz w:val="19"/>
        </w:rPr>
        <w:t xml:space="preserve"> y la poda canónica a priori resuelven este riesgo de manera determinista.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Como limitación actual, el algoritmo de rectificación presupone contornos rectilíneos convexos sobre superficies planas; imágenes sobre papel arrugado requerirían técnicas de desdoblamiento de superficie (</w:t>
      </w:r>
      <w:r>
        <w:rPr>
          <w:rFonts w:ascii="Times New Roman" w:hAnsi="Times New Roman"/>
          <w:b w:val="0"/>
          <w:i/>
          <w:sz w:val="19"/>
        </w:rPr>
        <w:t>page dewarping</w:t>
      </w:r>
      <w:r>
        <w:rPr>
          <w:rFonts w:ascii="Times New Roman" w:hAnsi="Times New Roman"/>
          <w:b w:val="0"/>
          <w:i w:val="0"/>
          <w:sz w:val="19"/>
        </w:rPr>
        <w:t>).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VIII. CONCLUSIONES</w:t>
      </w:r>
    </w:p>
    <w:p>
      <w:pPr>
        <w:spacing w:before="0" w:after="70"/>
        <w:ind w:firstLine="202"/>
        <w:jc w:val="both"/>
      </w:pPr>
      <w:r>
        <w:rPr>
          <w:rFonts w:ascii="Times New Roman" w:hAnsi="Times New Roman"/>
          <w:b w:val="0"/>
          <w:i w:val="0"/>
          <w:sz w:val="19"/>
        </w:rPr>
        <w:t>Se presentó, implementó y validó una arquitectura híbrida neuro-simbólica completa para la resolución autónoma de acertijos KenKen: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El modelo </w:t>
      </w:r>
      <w:r>
        <w:rPr>
          <w:rFonts w:ascii="Consolas" w:hAnsi="Consolas"/>
          <w:b w:val="0"/>
          <w:sz w:val="18"/>
        </w:rPr>
        <w:t>GlyphCNN</w:t>
      </w:r>
      <w:r>
        <w:rPr>
          <w:rFonts w:ascii="Times New Roman" w:hAnsi="Times New Roman"/>
          <w:b w:val="0"/>
          <w:i w:val="0"/>
          <w:sz w:val="19"/>
        </w:rPr>
        <w:t xml:space="preserve"> con </w:t>
      </w:r>
      <w:r>
        <w:rPr>
          <w:rFonts w:ascii="Times New Roman" w:hAnsi="Times New Roman"/>
          <w:b w:val="0"/>
          <w:i/>
          <w:sz w:val="19"/>
        </w:rPr>
        <w:t>Fine-Tuning</w:t>
      </w:r>
      <w:r>
        <w:rPr>
          <w:rFonts w:ascii="Times New Roman" w:hAnsi="Times New Roman"/>
          <w:b w:val="0"/>
          <w:i w:val="0"/>
          <w:sz w:val="19"/>
        </w:rPr>
        <w:t xml:space="preserve"> focalizado y </w:t>
      </w:r>
      <w:r>
        <w:rPr>
          <w:rFonts w:ascii="Times New Roman" w:hAnsi="Times New Roman"/>
          <w:b w:val="0"/>
          <w:i/>
          <w:sz w:val="19"/>
        </w:rPr>
        <w:t>Focal Loss</w:t>
      </w:r>
      <w:r>
        <w:rPr>
          <w:rFonts w:ascii="Times New Roman" w:hAnsi="Times New Roman"/>
          <w:b w:val="0"/>
          <w:i w:val="0"/>
          <w:sz w:val="19"/>
        </w:rPr>
        <w:t xml:space="preserve"> alcanzó un </w:t>
      </w:r>
      <m:oMath>
        <m:r>
          <m:t>99.51%</m:t>
        </m:r>
      </m:oMath>
      <w:r>
        <w:rPr>
          <w:rFonts w:ascii="Times New Roman" w:hAnsi="Times New Roman"/>
          <w:b w:val="0"/>
          <w:i w:val="0"/>
          <w:sz w:val="19"/>
        </w:rPr>
        <w:t xml:space="preserve"> de exactitud por glifo y un </w:t>
      </w:r>
      <m:oMath>
        <m:r>
          <m:t>90.33%</m:t>
        </m:r>
      </m:oMath>
      <w:r>
        <w:rPr>
          <w:rFonts w:ascii="Times New Roman" w:hAnsi="Times New Roman"/>
          <w:b w:val="0"/>
          <w:i w:val="0"/>
          <w:sz w:val="19"/>
        </w:rPr>
        <w:t xml:space="preserve"> de tableros resueltos en condiciones estándar, manteniendo una latencia promedio de </w:t>
      </w:r>
      <m:oMath>
        <m:r>
          <m:t>0.26</m:t>
        </m:r>
        <m:r>
          <m:rPr>
            <m:nor/>
          </m:rPr>
          <m:t> s</m:t>
        </m:r>
      </m:oMath>
      <w:r>
        <w:rPr>
          <w:rFonts w:ascii="Times New Roman" w:hAnsi="Times New Roman"/>
          <w:b w:val="0"/>
          <w:i w:val="0"/>
          <w:sz w:val="19"/>
        </w:rPr>
        <w:t xml:space="preserve"> por imagen.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El modelo de CP-SAT con restricciones de tabla extensionales (Variante B) demostró consistencia de arco generalizada (GAC), logrando una aceleración del </w:t>
      </w:r>
      <m:oMath>
        <m:r>
          <m:t>39.5%</m:t>
        </m:r>
      </m:oMath>
      <w:r>
        <w:rPr>
          <w:rFonts w:ascii="Times New Roman" w:hAnsi="Times New Roman"/>
          <w:b w:val="0"/>
          <w:i w:val="0"/>
          <w:sz w:val="19"/>
        </w:rPr>
        <w:t xml:space="preserve"> en </w:t>
      </w:r>
      <m:oMath>
        <m:r>
          <m:t>n=9</m:t>
        </m:r>
      </m:oMath>
      <w:r>
        <w:rPr>
          <w:rFonts w:ascii="Times New Roman" w:hAnsi="Times New Roman"/>
          <w:b w:val="0"/>
          <w:i w:val="0"/>
          <w:sz w:val="19"/>
        </w:rPr>
        <w:t xml:space="preserve"> y resolviendo todas las instancias en el nodo raíz con 0 ramas de </w:t>
      </w:r>
      <w:r>
        <w:rPr>
          <w:rFonts w:ascii="Times New Roman" w:hAnsi="Times New Roman"/>
          <w:b w:val="0"/>
          <w:i/>
          <w:sz w:val="19"/>
        </w:rPr>
        <w:t>backtracking</w:t>
      </w:r>
      <w:r>
        <w:rPr>
          <w:rFonts w:ascii="Times New Roman" w:hAnsi="Times New Roman"/>
          <w:b w:val="0"/>
          <w:i w:val="0"/>
          <w:sz w:val="19"/>
        </w:rPr>
        <w:t>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La regularización </w:t>
      </w:r>
      <m:oMath>
        <m:sSub>
          <m:e>
            <m:r>
              <m:t>ℓ</m:t>
            </m:r>
          </m:e>
          <m:sub>
            <m:r>
              <m:t>0</m:t>
            </m:r>
          </m:sub>
        </m:sSub>
      </m:oMath>
      <w:r>
        <w:rPr>
          <w:rFonts w:ascii="Times New Roman" w:hAnsi="Times New Roman"/>
          <w:b w:val="0"/>
          <w:i w:val="0"/>
          <w:sz w:val="19"/>
        </w:rPr>
        <w:t xml:space="preserve"> y el semáforo de fiabilidad gradual garantizan una recuperación transparente ante fallos de visión, previniendo la entrega de soluciones espurias.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>El pipeline opera de extremo a extremo sin intervención manual y cuenta con una interfaz web en Gradio validada mediante 21 casos de demostración y una suite de pruebas automatizadas con 100% de éxito.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REFERENCIAS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Bessière, C., Hebrard, E., Hnich, B., Kiziltan, Z., &amp; Walsh, T. (2006). Filtering algorithms for table constraints: An overview. </w:t>
      </w:r>
      <w:r>
        <w:rPr>
          <w:rFonts w:ascii="Times New Roman" w:hAnsi="Times New Roman"/>
          <w:b w:val="0"/>
          <w:i/>
          <w:sz w:val="19"/>
        </w:rPr>
        <w:t>Constraints</w:t>
      </w:r>
      <w:r>
        <w:rPr>
          <w:rFonts w:ascii="Times New Roman" w:hAnsi="Times New Roman"/>
          <w:b w:val="0"/>
          <w:i w:val="0"/>
          <w:sz w:val="19"/>
        </w:rPr>
        <w:t>, 11(4), 271–304.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Bradski, G. (2000). The OpenCV Library. </w:t>
      </w:r>
      <w:r>
        <w:rPr>
          <w:rFonts w:ascii="Times New Roman" w:hAnsi="Times New Roman"/>
          <w:b w:val="0"/>
          <w:i/>
          <w:sz w:val="19"/>
        </w:rPr>
        <w:t>Dr. Dobb's Journal: Software Tools for the Professional Programmer</w:t>
      </w:r>
      <w:r>
        <w:rPr>
          <w:rFonts w:ascii="Times New Roman" w:hAnsi="Times New Roman"/>
          <w:b w:val="0"/>
          <w:i w:val="0"/>
          <w:sz w:val="19"/>
        </w:rPr>
        <w:t>, 25(11), 120–123.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Chow, C. (1970). On optimum recognition error and reject tradeoff. </w:t>
      </w:r>
      <w:r>
        <w:rPr>
          <w:rFonts w:ascii="Times New Roman" w:hAnsi="Times New Roman"/>
          <w:b w:val="0"/>
          <w:i/>
          <w:sz w:val="19"/>
        </w:rPr>
        <w:t>IEEE Transactions on Information Theory</w:t>
      </w:r>
      <w:r>
        <w:rPr>
          <w:rFonts w:ascii="Times New Roman" w:hAnsi="Times New Roman"/>
          <w:b w:val="0"/>
          <w:i w:val="0"/>
          <w:sz w:val="19"/>
        </w:rPr>
        <w:t>, 16(1), 41–46.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Cortes, C., DeSalvo, G., &amp; Mohri, M. (2016). Learning with rejection. En </w:t>
      </w:r>
      <w:r>
        <w:rPr>
          <w:rFonts w:ascii="Times New Roman" w:hAnsi="Times New Roman"/>
          <w:b w:val="0"/>
          <w:i/>
          <w:sz w:val="19"/>
        </w:rPr>
        <w:t>Algorithmic Learning Theory (ALT)</w:t>
      </w:r>
      <w:r>
        <w:rPr>
          <w:rFonts w:ascii="Times New Roman" w:hAnsi="Times New Roman"/>
          <w:b w:val="0"/>
          <w:i w:val="0"/>
          <w:sz w:val="19"/>
        </w:rPr>
        <w:t xml:space="preserve"> (pp. 67–82). Springer.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De Raedt, L., Guns, T., &amp; Nijssen, S. (2011). Constraint programming for data mining and machine learning. En </w:t>
      </w:r>
      <w:r>
        <w:rPr>
          <w:rFonts w:ascii="Times New Roman" w:hAnsi="Times New Roman"/>
          <w:b w:val="0"/>
          <w:i/>
          <w:sz w:val="19"/>
        </w:rPr>
        <w:t>Proceedings of the AAAI Conference on Human Computation and Crowdsourcing</w:t>
      </w:r>
      <w:r>
        <w:rPr>
          <w:rFonts w:ascii="Times New Roman" w:hAnsi="Times New Roman"/>
          <w:b w:val="0"/>
          <w:i w:val="0"/>
          <w:sz w:val="19"/>
        </w:rPr>
        <w:t>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Lin, T.-Y., Goyal, P., Girshick, R., He, K., &amp; Dollár, P. (2017). Focal loss for dense object detection. En </w:t>
      </w:r>
      <w:r>
        <w:rPr>
          <w:rFonts w:ascii="Times New Roman" w:hAnsi="Times New Roman"/>
          <w:b w:val="0"/>
          <w:i/>
          <w:sz w:val="19"/>
        </w:rPr>
        <w:t>Proceedings of the IEEE International Conference on Computer Vision (ICCV)</w:t>
      </w:r>
      <w:r>
        <w:rPr>
          <w:rFonts w:ascii="Times New Roman" w:hAnsi="Times New Roman"/>
          <w:b w:val="0"/>
          <w:i w:val="0"/>
          <w:sz w:val="19"/>
        </w:rPr>
        <w:t xml:space="preserve"> (pp. 2980–2988).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Ohrimenko, O., Stuckey, P. J., &amp; Codish, M. (2009). Propagation = lazy clause generation. En </w:t>
      </w:r>
      <w:r>
        <w:rPr>
          <w:rFonts w:ascii="Times New Roman" w:hAnsi="Times New Roman"/>
          <w:b w:val="0"/>
          <w:i/>
          <w:sz w:val="19"/>
        </w:rPr>
        <w:t>Principles and Practice of Constraint Programming (CP)</w:t>
      </w:r>
      <w:r>
        <w:rPr>
          <w:rFonts w:ascii="Times New Roman" w:hAnsi="Times New Roman"/>
          <w:b w:val="0"/>
          <w:i w:val="0"/>
          <w:sz w:val="19"/>
        </w:rPr>
        <w:t xml:space="preserve"> (pp. 444–458). Springer.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Otsu, N. (1979). A threshold selection method from gray-level histograms. </w:t>
      </w:r>
      <w:r>
        <w:rPr>
          <w:rFonts w:ascii="Times New Roman" w:hAnsi="Times New Roman"/>
          <w:b w:val="0"/>
          <w:i/>
          <w:sz w:val="19"/>
        </w:rPr>
        <w:t>IEEE Transactions on Systems, Man, and Cybernetics</w:t>
      </w:r>
      <w:r>
        <w:rPr>
          <w:rFonts w:ascii="Times New Roman" w:hAnsi="Times New Roman"/>
          <w:b w:val="0"/>
          <w:i w:val="0"/>
          <w:sz w:val="19"/>
        </w:rPr>
        <w:t>, 9(1), 62–66.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Perron, L., Didier, F., &amp; Gay, S. (2023). The CP-SAT-LP solver (invited talk). En </w:t>
      </w:r>
      <w:r>
        <w:rPr>
          <w:rFonts w:ascii="Times New Roman" w:hAnsi="Times New Roman"/>
          <w:b w:val="0"/>
          <w:i/>
          <w:sz w:val="19"/>
        </w:rPr>
        <w:t>29th International Conference on Principles and Practice of Constraint Programming (CP 2023)</w:t>
      </w:r>
      <w:r>
        <w:rPr>
          <w:rFonts w:ascii="Times New Roman" w:hAnsi="Times New Roman"/>
          <w:b w:val="0"/>
          <w:i w:val="0"/>
          <w:sz w:val="19"/>
        </w:rPr>
        <w:t xml:space="preserve"> (Vol. 280, pp. 3:1–3:2). Schloss Dagstuhl.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Perron, L., &amp; Furnon, V. (2024). Google OR-Tools: Software suite for combinatorial optimization. </w:t>
      </w:r>
      <w:r>
        <w:rPr>
          <w:rFonts w:ascii="Times New Roman" w:hAnsi="Times New Roman"/>
          <w:color w:val="003399"/>
          <w:sz w:val="18"/>
          <w:u w:val="single"/>
        </w:rPr>
        <w:t>https://developers.google.com/optimization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Régin, J.-C. (1994). A filtering algorithm for constraints of difference in CSPs. En </w:t>
      </w:r>
      <w:r>
        <w:rPr>
          <w:rFonts w:ascii="Times New Roman" w:hAnsi="Times New Roman"/>
          <w:b w:val="0"/>
          <w:i/>
          <w:sz w:val="19"/>
        </w:rPr>
        <w:t>AAAI</w:t>
      </w:r>
      <w:r>
        <w:rPr>
          <w:rFonts w:ascii="Times New Roman" w:hAnsi="Times New Roman"/>
          <w:b w:val="0"/>
          <w:i w:val="0"/>
          <w:sz w:val="19"/>
        </w:rPr>
        <w:t>, 94, 362–367.</w:t>
      </w:r>
    </w:p>
    <w:p>
      <w:pPr>
        <w:pStyle w:val="ListNumber"/>
        <w:spacing w:before="20" w:after="40"/>
        <w:ind w:left="288"/>
      </w:pPr>
      <w:r>
        <w:rPr>
          <w:rFonts w:ascii="Times New Roman" w:hAnsi="Times New Roman"/>
          <w:b w:val="0"/>
          <w:i w:val="0"/>
          <w:sz w:val="19"/>
        </w:rPr>
        <w:t xml:space="preserve">Tarjan, R. E. (1975). Efficiency of a good but not linear set union algorithm. </w:t>
      </w:r>
      <w:r>
        <w:rPr>
          <w:rFonts w:ascii="Times New Roman" w:hAnsi="Times New Roman"/>
          <w:b w:val="0"/>
          <w:i/>
          <w:sz w:val="19"/>
        </w:rPr>
        <w:t>Journal of the ACM</w:t>
      </w:r>
      <w:r>
        <w:rPr>
          <w:rFonts w:ascii="Times New Roman" w:hAnsi="Times New Roman"/>
          <w:b w:val="0"/>
          <w:i w:val="0"/>
          <w:sz w:val="19"/>
        </w:rPr>
        <w:t>, 22(2), 215–225.</w:t>
      </w:r>
    </w:p>
    <w:sectPr w:rsidR="00FC693F" w:rsidRPr="0006063C" w:rsidSect="00034616">
      <w:type w:val="continuous"/>
      <w:pgSz w:w="12240" w:h="15840"/>
      <w:pgMar w:top="1080" w:right="900" w:bottom="1440" w:left="900" w:header="720" w:footer="720" w:gutter="0"/>
      <w:docGrid w:linePitch="36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