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240" w:lineRule="auto"/>
        <w:rPr>
          <w:sz w:val="30"/>
          <w:szCs w:val="30"/>
        </w:rPr>
      </w:pPr>
      <w:r w:rsidDel="00000000" w:rsidR="00000000" w:rsidRPr="00000000">
        <w:rPr>
          <w:sz w:val="30"/>
          <w:szCs w:val="30"/>
          <w:rtl w:val="0"/>
        </w:rPr>
        <w:t xml:space="preserve">📝 Day 1 Executive Summary Template</w:t>
      </w:r>
    </w:p>
    <w:p w:rsidR="00000000" w:rsidDel="00000000" w:rsidP="00000000" w:rsidRDefault="00000000" w:rsidRPr="00000000" w14:paraId="00000002">
      <w:pPr>
        <w:spacing w:line="240" w:lineRule="auto"/>
        <w:rPr>
          <w:sz w:val="22"/>
          <w:szCs w:val="22"/>
        </w:rPr>
      </w:pPr>
      <w:r w:rsidDel="00000000" w:rsidR="00000000" w:rsidRPr="00000000">
        <w:rPr>
          <w:sz w:val="22"/>
          <w:szCs w:val="22"/>
          <w:rtl w:val="0"/>
        </w:rPr>
        <w:t xml:space="preserve">This 1-page executive summary should be submitted to mentors by the end of Day 1. Keep it concise and problem-first. Use bullet points where possible. Think of it as your team’s blueprint for the next 2 days – this should be a living document that gets updated as you refine your ideas and understandings. </w:t>
      </w:r>
    </w:p>
    <w:p w:rsidR="00000000" w:rsidDel="00000000" w:rsidP="00000000" w:rsidRDefault="00000000" w:rsidRPr="00000000" w14:paraId="00000003">
      <w:pPr>
        <w:pStyle w:val="Heading2"/>
        <w:spacing w:before="0" w:line="240" w:lineRule="auto"/>
        <w:rPr>
          <w:sz w:val="28"/>
          <w:szCs w:val="28"/>
        </w:rPr>
      </w:pPr>
      <w:r w:rsidDel="00000000" w:rsidR="00000000" w:rsidRPr="00000000">
        <w:rPr>
          <w:sz w:val="28"/>
          <w:szCs w:val="28"/>
          <w:rtl w:val="0"/>
        </w:rPr>
        <w:t xml:space="preserve">Problem Statement (2-3 sentences)</w:t>
      </w:r>
    </w:p>
    <w:p w:rsidR="00000000" w:rsidDel="00000000" w:rsidP="00000000" w:rsidRDefault="00000000" w:rsidRPr="00000000" w14:paraId="00000004">
      <w:pPr>
        <w:spacing w:line="240" w:lineRule="auto"/>
        <w:rPr>
          <w:sz w:val="22"/>
          <w:szCs w:val="22"/>
        </w:rPr>
      </w:pPr>
      <w:r w:rsidDel="00000000" w:rsidR="00000000" w:rsidRPr="00000000">
        <w:rPr>
          <w:sz w:val="22"/>
          <w:szCs w:val="22"/>
          <w:rtl w:val="0"/>
        </w:rPr>
        <w:t xml:space="preserve">Who is struggling, with what, when/where? Be as specific as possible. Why is this the right time to solve this problem? (e.g., exam stress season, social media trends, tech enablers)</w:t>
      </w:r>
    </w:p>
    <w:p w:rsidR="00000000" w:rsidDel="00000000" w:rsidP="00000000" w:rsidRDefault="00000000" w:rsidRPr="00000000" w14:paraId="00000005">
      <w:pPr>
        <w:pStyle w:val="Heading2"/>
        <w:spacing w:before="0" w:line="240" w:lineRule="auto"/>
        <w:rPr>
          <w:rFonts w:ascii="Cambria" w:cs="Cambria" w:eastAsia="Cambria" w:hAnsi="Cambria"/>
          <w:b w:val="0"/>
          <w:bCs w:val="0"/>
          <w:color w:val="000000"/>
          <w:sz w:val="20"/>
          <w:szCs w:val="20"/>
        </w:rPr>
      </w:pPr>
      <w:r w:rsidDel="00000000" w:rsidR="00000000" w:rsidRPr="00000000">
        <w:rPr>
          <w:rFonts w:ascii="Cambria" w:cs="Cambria" w:eastAsia="Cambria" w:hAnsi="Cambria"/>
          <w:b w:val="0"/>
          <w:bCs w:val="0"/>
          <w:color w:val="000000"/>
          <w:sz w:val="20"/>
          <w:szCs w:val="20"/>
          <w:rtl w:val="0"/>
        </w:rPr>
        <w:t xml:space="preserve">Chinese outpatient care has an information continuity gap around the clinical visit. Patients may struggle to communicate fragmented symptoms efficiently before a visit, then leave with prescriptions, tests, follow-up instructions, and verbal advice that are difficult to fully understand afterward. With 5.56 billion visits to primary healthcare facilities in China in 2025 alone, scalable communication support cannot rely only on adding more clinician time.</w:t>
      </w:r>
    </w:p>
    <w:p w:rsidR="00000000" w:rsidDel="00000000" w:rsidP="00000000" w:rsidRDefault="00000000" w:rsidRPr="00000000" w14:paraId="00000006">
      <w:pPr>
        <w:pStyle w:val="Heading2"/>
        <w:spacing w:before="0" w:line="240" w:lineRule="auto"/>
        <w:rPr>
          <w:sz w:val="28"/>
          <w:szCs w:val="28"/>
        </w:rPr>
      </w:pPr>
      <w:r w:rsidDel="00000000" w:rsidR="00000000" w:rsidRPr="00000000">
        <w:rPr>
          <w:sz w:val="28"/>
          <w:szCs w:val="28"/>
          <w:rtl w:val="0"/>
        </w:rPr>
        <w:t xml:space="preserve">Target User &amp; Context</w:t>
      </w:r>
    </w:p>
    <w:p w:rsidR="00000000" w:rsidDel="00000000" w:rsidP="00000000" w:rsidRDefault="00000000" w:rsidRPr="00000000" w14:paraId="00000007">
      <w:pPr>
        <w:spacing w:line="240" w:lineRule="auto"/>
        <w:rPr/>
      </w:pPr>
      <w:r w:rsidDel="00000000" w:rsidR="00000000" w:rsidRPr="00000000">
        <w:rPr>
          <w:rtl w:val="0"/>
        </w:rPr>
        <w:t xml:space="preserve">Adults and older adults attending routine, non-emergency outpatient visits at primary and secondary public healthcare facilities in China.</w:t>
      </w:r>
    </w:p>
    <w:p w:rsidR="00000000" w:rsidDel="00000000" w:rsidP="00000000" w:rsidRDefault="00000000" w:rsidRPr="00000000" w14:paraId="00000008">
      <w:pPr>
        <w:pStyle w:val="Heading2"/>
        <w:spacing w:before="0" w:line="240" w:lineRule="auto"/>
        <w:rPr>
          <w:sz w:val="28"/>
          <w:szCs w:val="28"/>
        </w:rPr>
      </w:pPr>
      <w:r w:rsidDel="00000000" w:rsidR="00000000" w:rsidRPr="00000000">
        <w:rPr>
          <w:sz w:val="28"/>
          <w:szCs w:val="28"/>
          <w:rtl w:val="0"/>
        </w:rPr>
        <w:t xml:space="preserve">Evidence (3 bullets)</w:t>
      </w:r>
    </w:p>
    <w:p w:rsidR="00000000" w:rsidDel="00000000" w:rsidP="00000000" w:rsidRDefault="00000000" w:rsidRPr="00000000" w14:paraId="00000009">
      <w:pPr>
        <w:spacing w:line="240" w:lineRule="auto"/>
        <w:rPr>
          <w:sz w:val="22"/>
          <w:szCs w:val="22"/>
        </w:rPr>
      </w:pPr>
      <w:r w:rsidDel="00000000" w:rsidR="00000000" w:rsidRPr="00000000">
        <w:rPr>
          <w:sz w:val="22"/>
          <w:szCs w:val="22"/>
          <w:rtl w:val="0"/>
        </w:rPr>
        <w:t xml:space="preserve">Include quick interviews, surveys, or research findings that support the importance of this problem.</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In a national survey of 11,959 outpatients across 1,304 Chinese hospitals, better doctor communication was strongly associated with higher outpatient satisfaction; time spent with doctors was also significant, suggesting communication quality matters under constrained consultation time.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Among 1,653 urban Chinese patients, 78.2% had searched for medical information online; among online seekers, 54.5% searched both before and after a medical visit, showing that information-seeking frequently continues beyond the consultation itself. </w:t>
      </w:r>
      <w:r w:rsidDel="00000000" w:rsidR="00000000" w:rsidRPr="00000000">
        <w:rPr>
          <w:rtl w:val="0"/>
        </w:rPr>
      </w:r>
    </w:p>
    <w:p w:rsidR="00000000" w:rsidDel="00000000" w:rsidP="00000000" w:rsidRDefault="00000000" w:rsidRPr="00000000" w14:paraId="0000000C">
      <w:pPr>
        <w:pStyle w:val="Heading3"/>
        <w:keepNext w:val="0"/>
        <w:keepLines w:val="0"/>
        <w:spacing w:after="80" w:before="280" w:line="240" w:lineRule="auto"/>
        <w:rPr>
          <w:rFonts w:ascii="Cambria" w:cs="Cambria" w:eastAsia="Cambria" w:hAnsi="Cambria"/>
          <w:color w:val="000000"/>
        </w:rPr>
      </w:pPr>
      <w:bookmarkStart w:colFirst="0" w:colLast="0" w:name="_heading=h.2iczdisqvswv" w:id="0"/>
      <w:bookmarkEnd w:id="0"/>
      <w:r w:rsidDel="00000000" w:rsidR="00000000" w:rsidRPr="00000000">
        <w:rPr>
          <w:rFonts w:ascii="Cambria" w:cs="Cambria" w:eastAsia="Cambria" w:hAnsi="Cambria"/>
          <w:color w:val="000000"/>
          <w:rtl w:val="0"/>
        </w:rPr>
        <w:t xml:space="preserve">Customer Discovery — 5 interviewees during the hackathon</w:t>
      </w:r>
    </w:p>
    <w:p w:rsidR="00000000" w:rsidDel="00000000" w:rsidP="00000000" w:rsidRDefault="00000000" w:rsidRPr="00000000" w14:paraId="0000000D">
      <w:pPr>
        <w:spacing w:after="240" w:before="240" w:line="240" w:lineRule="auto"/>
        <w:ind w:left="0" w:right="600" w:firstLine="0"/>
        <w:rPr/>
      </w:pPr>
      <w:r w:rsidDel="00000000" w:rsidR="00000000" w:rsidRPr="00000000">
        <w:rPr>
          <w:rtl w:val="0"/>
        </w:rPr>
        <w:t xml:space="preserve">Family caregiver: described navigation and appointment burdens; we excluded booking/navigation from the MVP because AI cannot solve supply constraints.</w:t>
      </w:r>
    </w:p>
    <w:p w:rsidR="00000000" w:rsidDel="00000000" w:rsidP="00000000" w:rsidRDefault="00000000" w:rsidRPr="00000000" w14:paraId="0000000E">
      <w:pPr>
        <w:spacing w:after="240" w:before="240" w:line="240" w:lineRule="auto"/>
        <w:ind w:left="0" w:right="600" w:firstLine="0"/>
        <w:rPr/>
      </w:pPr>
      <w:r w:rsidDel="00000000" w:rsidR="00000000" w:rsidRPr="00000000">
        <w:rPr>
          <w:rtl w:val="0"/>
        </w:rPr>
        <w:t xml:space="preserve">Three adult/chronic-care patients: described preparing questions before visits, difficulty clarifying information afterward, concerns about medication rationale/side effects, forgetting verbal advice, and independently checking treatment information; this led us to keep both a concise pre-visit brief and a stronger post-visit Clinical Plan with selectable explanation depth.</w:t>
      </w:r>
    </w:p>
    <w:p w:rsidR="00000000" w:rsidDel="00000000" w:rsidP="00000000" w:rsidRDefault="00000000" w:rsidRPr="00000000" w14:paraId="0000000F">
      <w:pPr>
        <w:spacing w:after="240" w:before="240" w:line="240" w:lineRule="auto"/>
        <w:ind w:left="0" w:right="600" w:firstLine="0"/>
        <w:rPr/>
      </w:pPr>
      <w:r w:rsidDel="00000000" w:rsidR="00000000" w:rsidRPr="00000000">
        <w:rPr>
          <w:rtl w:val="0"/>
        </w:rPr>
        <w:t xml:space="preserve">Nurse and patient perspective: emphasized the importance and time burden of history-taking, warned that pre-visit tools cannot replace examination and may face clinician-trust/efficiency concerns, but saw clear value in helping patients retain, understand, and track instructions after the visit, especially when family support is limited.</w:t>
      </w:r>
      <w:r w:rsidDel="00000000" w:rsidR="00000000" w:rsidRPr="00000000">
        <w:rPr>
          <w:rtl w:val="0"/>
        </w:rPr>
      </w:r>
    </w:p>
    <w:p w:rsidR="00000000" w:rsidDel="00000000" w:rsidP="00000000" w:rsidRDefault="00000000" w:rsidRPr="00000000" w14:paraId="00000010">
      <w:pPr>
        <w:pStyle w:val="Heading2"/>
        <w:spacing w:before="0" w:line="240" w:lineRule="auto"/>
        <w:rPr>
          <w:sz w:val="28"/>
          <w:szCs w:val="28"/>
        </w:rPr>
      </w:pPr>
      <w:r w:rsidDel="00000000" w:rsidR="00000000" w:rsidRPr="00000000">
        <w:rPr>
          <w:sz w:val="28"/>
          <w:szCs w:val="28"/>
          <w:rtl w:val="0"/>
        </w:rPr>
        <w:t xml:space="preserve">Proposed Solution (1-liner) + Top 3 Features</w:t>
      </w:r>
    </w:p>
    <w:p w:rsidR="00000000" w:rsidDel="00000000" w:rsidP="00000000" w:rsidRDefault="00000000" w:rsidRPr="00000000" w14:paraId="00000011">
      <w:pPr>
        <w:spacing w:line="240" w:lineRule="auto"/>
        <w:rPr>
          <w:sz w:val="22"/>
          <w:szCs w:val="22"/>
        </w:rPr>
      </w:pPr>
      <w:r w:rsidDel="00000000" w:rsidR="00000000" w:rsidRPr="00000000">
        <w:rPr>
          <w:sz w:val="22"/>
          <w:szCs w:val="22"/>
          <w:rtl w:val="0"/>
        </w:rPr>
        <w:t xml:space="preserve">Briefly describe your concept and its 3 most important features.</w:t>
      </w:r>
    </w:p>
    <w:p w:rsidR="00000000" w:rsidDel="00000000" w:rsidP="00000000" w:rsidRDefault="00000000" w:rsidRPr="00000000" w14:paraId="00000012">
      <w:pPr>
        <w:pStyle w:val="Heading2"/>
        <w:spacing w:before="0" w:line="240" w:lineRule="auto"/>
        <w:rPr>
          <w:rFonts w:ascii="Cambria" w:cs="Cambria" w:eastAsia="Cambria" w:hAnsi="Cambria"/>
          <w:b w:val="0"/>
          <w:bCs w:val="0"/>
          <w:color w:val="000000"/>
          <w:sz w:val="20"/>
          <w:szCs w:val="20"/>
        </w:rPr>
      </w:pPr>
      <w:r w:rsidDel="00000000" w:rsidR="00000000" w:rsidRPr="00000000">
        <w:rPr>
          <w:rFonts w:ascii="Cambria" w:cs="Cambria" w:eastAsia="Cambria" w:hAnsi="Cambria"/>
          <w:b w:val="0"/>
          <w:bCs w:val="0"/>
          <w:color w:val="000000"/>
          <w:sz w:val="20"/>
          <w:szCs w:val="20"/>
          <w:rtl w:val="0"/>
        </w:rPr>
        <w:t xml:space="preserve">VisitSmoothie is an AI outpatient visit companion that turns fragmented information into a clear, patient-controlled journey before and after a visit.</w:t>
      </w:r>
    </w:p>
    <w:p w:rsidR="00000000" w:rsidDel="00000000" w:rsidP="00000000" w:rsidRDefault="00000000" w:rsidRPr="00000000" w14:paraId="00000013">
      <w:pPr>
        <w:spacing w:after="0" w:line="240" w:lineRule="auto"/>
        <w:rPr>
          <w:b w:val="1"/>
          <w:bCs w:val="1"/>
        </w:rPr>
      </w:pPr>
      <w:r w:rsidDel="00000000" w:rsidR="00000000" w:rsidRPr="00000000">
        <w:rPr>
          <w:b w:val="1"/>
          <w:bCs w:val="1"/>
          <w:rtl w:val="0"/>
        </w:rPr>
        <w:t xml:space="preserve">Top 3 Features</w:t>
      </w:r>
    </w:p>
    <w:p w:rsidR="00000000" w:rsidDel="00000000" w:rsidP="00000000" w:rsidRDefault="00000000" w:rsidRPr="00000000" w14:paraId="00000014">
      <w:pPr>
        <w:spacing w:after="0" w:line="240" w:lineRule="auto"/>
        <w:rPr/>
      </w:pPr>
      <w:r w:rsidDel="00000000" w:rsidR="00000000" w:rsidRPr="00000000">
        <w:rPr>
          <w:rtl w:val="0"/>
        </w:rPr>
        <w:t xml:space="preserve">Post-visit Clinical Plan - extracts medications, tests, follow-up timing, and verbal tips from visit materials; detects missing or conflicting instructions instead of silently resolving them.</w:t>
      </w:r>
    </w:p>
    <w:p w:rsidR="00000000" w:rsidDel="00000000" w:rsidP="00000000" w:rsidRDefault="00000000" w:rsidRPr="00000000" w14:paraId="00000015">
      <w:pPr>
        <w:spacing w:after="0" w:line="240" w:lineRule="auto"/>
        <w:rPr/>
      </w:pPr>
      <w:r w:rsidDel="00000000" w:rsidR="00000000" w:rsidRPr="00000000">
        <w:rPr>
          <w:rtl w:val="0"/>
        </w:rPr>
        <w:t xml:space="preserve">Adaptive Explanation - patients choose “just tell me what to do,” “what it means and why,” or “understand more deeply,” while the system distinguishes documented reasons, relevant patient context, general medical knowledge, and unknowns.</w:t>
      </w:r>
    </w:p>
    <w:p w:rsidR="00000000" w:rsidDel="00000000" w:rsidP="00000000" w:rsidRDefault="00000000" w:rsidRPr="00000000" w14:paraId="00000016">
      <w:pPr>
        <w:spacing w:after="0" w:line="240" w:lineRule="auto"/>
        <w:rPr/>
      </w:pPr>
      <w:r w:rsidDel="00000000" w:rsidR="00000000" w:rsidRPr="00000000">
        <w:rPr>
          <w:rtl w:val="0"/>
        </w:rPr>
        <w:t xml:space="preserve">Pre-visit Brief – a voice conversational agent asks only useful follow-up questions and generates a summary for the clinician.</w:t>
      </w:r>
    </w:p>
    <w:p w:rsidR="00000000" w:rsidDel="00000000" w:rsidP="00000000" w:rsidRDefault="00000000" w:rsidRPr="00000000" w14:paraId="00000017">
      <w:pPr>
        <w:spacing w:after="0" w:line="240" w:lineRule="auto"/>
        <w:rPr/>
      </w:pPr>
      <w:r w:rsidDel="00000000" w:rsidR="00000000" w:rsidRPr="00000000">
        <w:rPr>
          <w:rtl w:val="0"/>
        </w:rPr>
      </w:r>
    </w:p>
    <w:p w:rsidR="00000000" w:rsidDel="00000000" w:rsidP="00000000" w:rsidRDefault="00000000" w:rsidRPr="00000000" w14:paraId="00000018">
      <w:pPr>
        <w:pStyle w:val="Heading2"/>
        <w:spacing w:before="0" w:line="240" w:lineRule="auto"/>
        <w:rPr>
          <w:sz w:val="28"/>
          <w:szCs w:val="28"/>
        </w:rPr>
      </w:pPr>
      <w:r w:rsidDel="00000000" w:rsidR="00000000" w:rsidRPr="00000000">
        <w:rPr>
          <w:sz w:val="28"/>
          <w:szCs w:val="28"/>
          <w:rtl w:val="0"/>
        </w:rPr>
        <w:t xml:space="preserve">AI’s Role</w:t>
      </w:r>
    </w:p>
    <w:p w:rsidR="00000000" w:rsidDel="00000000" w:rsidP="00000000" w:rsidRDefault="00000000" w:rsidRPr="00000000" w14:paraId="00000019">
      <w:pPr>
        <w:spacing w:line="240" w:lineRule="auto"/>
        <w:rPr>
          <w:sz w:val="22"/>
          <w:szCs w:val="22"/>
        </w:rPr>
      </w:pPr>
      <w:r w:rsidDel="00000000" w:rsidR="00000000" w:rsidRPr="00000000">
        <w:rPr>
          <w:sz w:val="22"/>
          <w:szCs w:val="22"/>
          <w:rtl w:val="0"/>
        </w:rPr>
        <w:t xml:space="preserve">Explain why AI is needed here and what it does better than rules/manual processes.</w:t>
      </w:r>
    </w:p>
    <w:p w:rsidR="00000000" w:rsidDel="00000000" w:rsidP="00000000" w:rsidRDefault="00000000" w:rsidRPr="00000000" w14:paraId="0000001A">
      <w:pPr>
        <w:spacing w:line="240" w:lineRule="auto"/>
        <w:rPr>
          <w:sz w:val="22"/>
          <w:szCs w:val="22"/>
        </w:rPr>
      </w:pPr>
      <w:r w:rsidDel="00000000" w:rsidR="00000000" w:rsidRPr="00000000">
        <w:rPr>
          <w:rtl w:val="0"/>
        </w:rPr>
        <w:t xml:space="preserve">Rules alone cannot reliably interpret free-form symptom descriptions, spoken advice, prescriptions, and longitudinal patient context. The agent maintains a structured visit state and autonomously decides the next useful information step.</w:t>
      </w:r>
      <w:r w:rsidDel="00000000" w:rsidR="00000000" w:rsidRPr="00000000">
        <w:rPr>
          <w:rtl w:val="0"/>
        </w:rPr>
      </w:r>
    </w:p>
    <w:p w:rsidR="00000000" w:rsidDel="00000000" w:rsidP="00000000" w:rsidRDefault="00000000" w:rsidRPr="00000000" w14:paraId="0000001B">
      <w:pPr>
        <w:pStyle w:val="Heading2"/>
        <w:spacing w:before="0" w:line="240" w:lineRule="auto"/>
        <w:rPr>
          <w:sz w:val="28"/>
          <w:szCs w:val="28"/>
        </w:rPr>
      </w:pPr>
      <w:r w:rsidDel="00000000" w:rsidR="00000000" w:rsidRPr="00000000">
        <w:rPr>
          <w:sz w:val="28"/>
          <w:szCs w:val="28"/>
          <w:rtl w:val="0"/>
        </w:rPr>
        <w:t xml:space="preserve">Safety &amp; Ethics (*Optional, but strongly encouraged) </w:t>
      </w:r>
    </w:p>
    <w:p w:rsidR="00000000" w:rsidDel="00000000" w:rsidP="00000000" w:rsidRDefault="00000000" w:rsidRPr="00000000" w14:paraId="0000001C">
      <w:pPr>
        <w:spacing w:line="240" w:lineRule="auto"/>
        <w:rPr>
          <w:sz w:val="22"/>
          <w:szCs w:val="22"/>
        </w:rPr>
      </w:pPr>
      <w:r w:rsidDel="00000000" w:rsidR="00000000" w:rsidRPr="00000000">
        <w:rPr>
          <w:sz w:val="22"/>
          <w:szCs w:val="22"/>
          <w:rtl w:val="0"/>
        </w:rPr>
        <w:t xml:space="preserve">State how you will handle consent, privacy (minimum data collection), crisis response, and make clear this is not medical advice.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Prototype uses synthetic medical data; real deployment would use minimum-necessary, consented health information.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AI does not diagnose, alter medication, or create new treatment plans.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Patient-specific rationale is labeled as doctor-stated, context-supported, general, or not documented; uncertainty becomes a question for a professional rather than an invented answer.</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Future proprietary data should come from consented feedback on which pre-visit information clinicians find useful and which explanations patients actually understand, rather than indiscriminate collection of medical records.</w:t>
      </w:r>
    </w:p>
    <w:p w:rsidR="00000000" w:rsidDel="00000000" w:rsidP="00000000" w:rsidRDefault="00000000" w:rsidRPr="00000000" w14:paraId="00000021">
      <w:pPr>
        <w:pStyle w:val="Heading2"/>
        <w:spacing w:before="0" w:line="240" w:lineRule="auto"/>
        <w:rPr>
          <w:sz w:val="28"/>
          <w:szCs w:val="28"/>
        </w:rPr>
      </w:pPr>
      <w:r w:rsidDel="00000000" w:rsidR="00000000" w:rsidRPr="00000000">
        <w:rPr>
          <w:sz w:val="28"/>
          <w:szCs w:val="28"/>
          <w:rtl w:val="0"/>
        </w:rPr>
        <w:t xml:space="preserve">Risks &amp; Open Questions (*Optional, but strongly encouraged)</w:t>
      </w:r>
    </w:p>
    <w:p w:rsidR="00000000" w:rsidDel="00000000" w:rsidP="00000000" w:rsidRDefault="00000000" w:rsidRPr="00000000" w14:paraId="00000022">
      <w:pPr>
        <w:spacing w:line="240" w:lineRule="auto"/>
        <w:rPr>
          <w:sz w:val="22"/>
          <w:szCs w:val="22"/>
        </w:rPr>
      </w:pPr>
      <w:r w:rsidDel="00000000" w:rsidR="00000000" w:rsidRPr="00000000">
        <w:rPr>
          <w:sz w:val="22"/>
          <w:szCs w:val="22"/>
          <w:rtl w:val="0"/>
        </w:rPr>
        <w:t xml:space="preserve">List potential blockers, technical risks, and unknowns.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Does the pre-visit brief reduce clinician burden or add reading work?</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Are the three explanation levels meaningfully different to real users?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How accurately can the prototype extract verbal tips and detect cross-source conflicts?</w:t>
      </w:r>
    </w:p>
    <w:p w:rsidR="00000000" w:rsidDel="00000000" w:rsidP="00000000" w:rsidRDefault="00000000" w:rsidRPr="00000000" w14:paraId="00000026">
      <w:pPr>
        <w:pStyle w:val="Heading2"/>
        <w:spacing w:before="0" w:line="240" w:lineRule="auto"/>
        <w:rPr>
          <w:sz w:val="28"/>
          <w:szCs w:val="28"/>
        </w:rPr>
      </w:pPr>
      <w:r w:rsidDel="00000000" w:rsidR="00000000" w:rsidRPr="00000000">
        <w:rPr>
          <w:sz w:val="28"/>
          <w:szCs w:val="28"/>
          <w:rtl w:val="0"/>
        </w:rPr>
        <w:t xml:space="preserve">Asks for Mentors</w:t>
      </w:r>
    </w:p>
    <w:p w:rsidR="00000000" w:rsidDel="00000000" w:rsidP="00000000" w:rsidRDefault="00000000" w:rsidRPr="00000000" w14:paraId="00000027">
      <w:pPr>
        <w:spacing w:line="240" w:lineRule="auto"/>
        <w:rPr>
          <w:sz w:val="22"/>
          <w:szCs w:val="22"/>
        </w:rPr>
      </w:pPr>
      <w:r w:rsidDel="00000000" w:rsidR="00000000" w:rsidRPr="00000000">
        <w:rPr>
          <w:sz w:val="22"/>
          <w:szCs w:val="22"/>
          <w:rtl w:val="0"/>
        </w:rPr>
        <w:t xml:space="preserve">What decisions, advice, or technical help do you need to move forward?</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The minimum useful content of the pre-visit brief</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The boundary between safe explanation and clinical decision-making</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hd w:fill="auto" w:val="clear"/>
          <w:vertAlign w:val="baseline"/>
        </w:rPr>
      </w:pPr>
      <w:r w:rsidDel="00000000" w:rsidR="00000000" w:rsidRPr="00000000">
        <w:rPr>
          <w:rFonts w:ascii="Cambria" w:cs="Cambria" w:eastAsia="Cambria" w:hAnsi="Cambria"/>
          <w:b w:val="0"/>
          <w:bCs w:val="0"/>
          <w:i w:val="0"/>
          <w:iCs w:val="0"/>
          <w:smallCaps w:val="0"/>
          <w:strike w:val="0"/>
          <w:color w:val="000000"/>
          <w:u w:val="none"/>
          <w:shd w:fill="auto" w:val="clear"/>
          <w:vertAlign w:val="baseline"/>
          <w:rtl w:val="0"/>
        </w:rPr>
        <w:t xml:space="preserve">Whether our demo metrics are strong enough to demonstrate value</w:t>
      </w:r>
    </w:p>
    <w:p w:rsidR="00000000" w:rsidDel="00000000" w:rsidP="00000000" w:rsidRDefault="00000000" w:rsidRPr="00000000" w14:paraId="0000002B">
      <w:pPr>
        <w:pStyle w:val="Heading2"/>
        <w:spacing w:before="0" w:line="240" w:lineRule="auto"/>
        <w:rPr>
          <w:sz w:val="28"/>
          <w:szCs w:val="28"/>
        </w:rPr>
      </w:pPr>
      <w:r w:rsidDel="00000000" w:rsidR="00000000" w:rsidRPr="00000000">
        <w:rPr>
          <w:sz w:val="28"/>
          <w:szCs w:val="28"/>
          <w:rtl w:val="0"/>
        </w:rPr>
        <w:t xml:space="preserve">Team Roles &amp; Day‑2 Plan</w:t>
      </w:r>
    </w:p>
    <w:p w:rsidR="00000000" w:rsidDel="00000000" w:rsidP="00000000" w:rsidRDefault="00000000" w:rsidRPr="00000000" w14:paraId="0000002C">
      <w:pPr>
        <w:spacing w:line="240" w:lineRule="auto"/>
        <w:rPr>
          <w:sz w:val="22"/>
          <w:szCs w:val="22"/>
        </w:rPr>
      </w:pPr>
      <w:r w:rsidDel="00000000" w:rsidR="00000000" w:rsidRPr="00000000">
        <w:rPr>
          <w:sz w:val="22"/>
          <w:szCs w:val="22"/>
          <w:rtl w:val="0"/>
        </w:rPr>
        <w:t xml:space="preserve">List each team member and their primary focus area (product, tech, UX, testing). Define measurable outcomes for your hackathon demo (e.g., % users completing a mood check-in).</w:t>
      </w:r>
    </w:p>
    <w:p w:rsidR="00000000" w:rsidDel="00000000" w:rsidP="00000000" w:rsidRDefault="00000000" w:rsidRPr="00000000" w14:paraId="0000002D">
      <w:pPr>
        <w:spacing w:after="0" w:line="240" w:lineRule="auto"/>
        <w:rPr/>
      </w:pPr>
      <w:r w:rsidDel="00000000" w:rsidR="00000000" w:rsidRPr="00000000">
        <w:rPr>
          <w:rtl w:val="0"/>
        </w:rPr>
        <w:t xml:space="preserve">Joanna – Product design, Agentic workflow, UX</w:t>
      </w:r>
    </w:p>
    <w:p w:rsidR="00000000" w:rsidDel="00000000" w:rsidP="00000000" w:rsidRDefault="00000000" w:rsidRPr="00000000" w14:paraId="0000002E">
      <w:pPr>
        <w:spacing w:after="0" w:line="240" w:lineRule="auto"/>
        <w:rPr/>
      </w:pPr>
      <w:r w:rsidDel="00000000" w:rsidR="00000000" w:rsidRPr="00000000">
        <w:rPr>
          <w:rtl w:val="0"/>
        </w:rPr>
        <w:t xml:space="preserve">Nancy – Tech &amp; Interview &amp; Agentic workflow</w:t>
      </w:r>
    </w:p>
    <w:p w:rsidR="00000000" w:rsidDel="00000000" w:rsidP="00000000" w:rsidRDefault="00000000" w:rsidRPr="00000000" w14:paraId="0000002F">
      <w:pPr>
        <w:spacing w:after="0" w:line="240" w:lineRule="auto"/>
        <w:rPr/>
      </w:pPr>
      <w:r w:rsidDel="00000000" w:rsidR="00000000" w:rsidRPr="00000000">
        <w:rPr>
          <w:rtl w:val="0"/>
        </w:rPr>
        <w:t xml:space="preserve">Ronnie – Tech &amp; Interview</w:t>
      </w:r>
    </w:p>
    <w:p w:rsidR="00000000" w:rsidDel="00000000" w:rsidP="00000000" w:rsidRDefault="00000000" w:rsidRPr="00000000" w14:paraId="00000030">
      <w:pPr>
        <w:spacing w:after="0" w:line="240" w:lineRule="auto"/>
        <w:rPr/>
      </w:pPr>
      <w:r w:rsidDel="00000000" w:rsidR="00000000" w:rsidRPr="00000000">
        <w:rPr>
          <w:rtl w:val="0"/>
        </w:rPr>
        <w:t xml:space="preserve">Robin – Tech &amp; Testing</w:t>
      </w:r>
    </w:p>
    <w:p w:rsidR="00000000" w:rsidDel="00000000" w:rsidP="00000000" w:rsidRDefault="00000000" w:rsidRPr="00000000" w14:paraId="00000031">
      <w:pPr>
        <w:spacing w:after="0" w:line="240" w:lineRule="auto"/>
        <w:rPr/>
      </w:pPr>
      <w:r w:rsidDel="00000000" w:rsidR="00000000" w:rsidRPr="00000000">
        <w:rPr>
          <w:rtl w:val="0"/>
        </w:rPr>
        <w:t xml:space="preserve">Lucas – Tech &amp; Testing</w:t>
      </w:r>
    </w:p>
    <w:p w:rsidR="00000000" w:rsidDel="00000000" w:rsidP="00000000" w:rsidRDefault="00000000" w:rsidRPr="00000000" w14:paraId="00000032">
      <w:pPr>
        <w:rPr>
          <w:sz w:val="22"/>
          <w:szCs w:val="22"/>
        </w:rPr>
      </w:pPr>
      <w:r w:rsidDel="00000000" w:rsidR="00000000" w:rsidRPr="00000000">
        <w:rPr>
          <w:sz w:val="22"/>
          <w:szCs w:val="22"/>
          <w:rtl w:val="0"/>
        </w:rPr>
        <w:br w:type="textWrapping"/>
        <w:t xml:space="preserve">📌 Tip: Keep it to one page. Exclude long market sizing, full financials, or complex architecture diagrams. Use of AI is encouraged as a copilot/thought partner; but final output should still be your ideas. </w:t>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Cambria" w:cs="Cambria" w:eastAsia="Cambria" w:hAnsi="Cambria"/>
      </w:rPr>
    </w:lvl>
    <w:lvl w:ilvl="1">
      <w:start w:val="1"/>
      <w:numFmt w:val="bullet"/>
      <w:lvlText w:val="■"/>
      <w:lvlJc w:val="left"/>
      <w:pPr>
        <w:ind w:left="880" w:hanging="440"/>
      </w:pPr>
      <w:rPr>
        <w:rFonts w:ascii="Noto Sans Symbols" w:cs="Noto Sans Symbols" w:eastAsia="Noto Sans Symbols" w:hAnsi="Noto Sans Symbols"/>
      </w:rPr>
    </w:lvl>
    <w:lvl w:ilvl="2">
      <w:start w:val="1"/>
      <w:numFmt w:val="bullet"/>
      <w:lvlText w:val="◆"/>
      <w:lvlJc w:val="left"/>
      <w:pPr>
        <w:ind w:left="1320" w:hanging="440"/>
      </w:pPr>
      <w:rPr>
        <w:rFonts w:ascii="Noto Sans Symbols" w:cs="Noto Sans Symbols" w:eastAsia="Noto Sans Symbols" w:hAnsi="Noto Sans Symbols"/>
      </w:rPr>
    </w:lvl>
    <w:lvl w:ilvl="3">
      <w:start w:val="1"/>
      <w:numFmt w:val="bullet"/>
      <w:lvlText w:val="●"/>
      <w:lvlJc w:val="left"/>
      <w:pPr>
        <w:ind w:left="1760" w:hanging="440"/>
      </w:pPr>
      <w:rPr>
        <w:rFonts w:ascii="Noto Sans Symbols" w:cs="Noto Sans Symbols" w:eastAsia="Noto Sans Symbols" w:hAnsi="Noto Sans Symbols"/>
      </w:rPr>
    </w:lvl>
    <w:lvl w:ilvl="4">
      <w:start w:val="1"/>
      <w:numFmt w:val="bullet"/>
      <w:lvlText w:val="■"/>
      <w:lvlJc w:val="left"/>
      <w:pPr>
        <w:ind w:left="2200" w:hanging="440"/>
      </w:pPr>
      <w:rPr>
        <w:rFonts w:ascii="Noto Sans Symbols" w:cs="Noto Sans Symbols" w:eastAsia="Noto Sans Symbols" w:hAnsi="Noto Sans Symbols"/>
      </w:rPr>
    </w:lvl>
    <w:lvl w:ilvl="5">
      <w:start w:val="1"/>
      <w:numFmt w:val="bullet"/>
      <w:lvlText w:val="◆"/>
      <w:lvlJc w:val="left"/>
      <w:pPr>
        <w:ind w:left="2640" w:hanging="440"/>
      </w:pPr>
      <w:rPr>
        <w:rFonts w:ascii="Noto Sans Symbols" w:cs="Noto Sans Symbols" w:eastAsia="Noto Sans Symbols" w:hAnsi="Noto Sans Symbols"/>
      </w:rPr>
    </w:lvl>
    <w:lvl w:ilvl="6">
      <w:start w:val="1"/>
      <w:numFmt w:val="bullet"/>
      <w:lvlText w:val="●"/>
      <w:lvlJc w:val="left"/>
      <w:pPr>
        <w:ind w:left="3080" w:hanging="440"/>
      </w:pPr>
      <w:rPr>
        <w:rFonts w:ascii="Noto Sans Symbols" w:cs="Noto Sans Symbols" w:eastAsia="Noto Sans Symbols" w:hAnsi="Noto Sans Symbols"/>
      </w:rPr>
    </w:lvl>
    <w:lvl w:ilvl="7">
      <w:start w:val="1"/>
      <w:numFmt w:val="bullet"/>
      <w:lvlText w:val="■"/>
      <w:lvlJc w:val="left"/>
      <w:pPr>
        <w:ind w:left="3520" w:hanging="440"/>
      </w:pPr>
      <w:rPr>
        <w:rFonts w:ascii="Noto Sans Symbols" w:cs="Noto Sans Symbols" w:eastAsia="Noto Sans Symbols" w:hAnsi="Noto Sans Symbols"/>
      </w:rPr>
    </w:lvl>
    <w:lvl w:ilvl="8">
      <w:start w:val="1"/>
      <w:numFmt w:val="bullet"/>
      <w:lvlText w:val="◆"/>
      <w:lvlJc w:val="left"/>
      <w:pPr>
        <w:ind w:left="3960" w:hanging="44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Cambria" w:cs="Cambria" w:eastAsia="Cambria" w:hAnsi="Cambria"/>
      </w:rPr>
    </w:lvl>
    <w:lvl w:ilvl="1">
      <w:start w:val="1"/>
      <w:numFmt w:val="bullet"/>
      <w:lvlText w:val="■"/>
      <w:lvlJc w:val="left"/>
      <w:pPr>
        <w:ind w:left="880" w:hanging="440"/>
      </w:pPr>
      <w:rPr>
        <w:rFonts w:ascii="Noto Sans Symbols" w:cs="Noto Sans Symbols" w:eastAsia="Noto Sans Symbols" w:hAnsi="Noto Sans Symbols"/>
      </w:rPr>
    </w:lvl>
    <w:lvl w:ilvl="2">
      <w:start w:val="1"/>
      <w:numFmt w:val="bullet"/>
      <w:lvlText w:val="◆"/>
      <w:lvlJc w:val="left"/>
      <w:pPr>
        <w:ind w:left="1320" w:hanging="440"/>
      </w:pPr>
      <w:rPr>
        <w:rFonts w:ascii="Noto Sans Symbols" w:cs="Noto Sans Symbols" w:eastAsia="Noto Sans Symbols" w:hAnsi="Noto Sans Symbols"/>
      </w:rPr>
    </w:lvl>
    <w:lvl w:ilvl="3">
      <w:start w:val="1"/>
      <w:numFmt w:val="bullet"/>
      <w:lvlText w:val="●"/>
      <w:lvlJc w:val="left"/>
      <w:pPr>
        <w:ind w:left="1760" w:hanging="440"/>
      </w:pPr>
      <w:rPr>
        <w:rFonts w:ascii="Noto Sans Symbols" w:cs="Noto Sans Symbols" w:eastAsia="Noto Sans Symbols" w:hAnsi="Noto Sans Symbols"/>
      </w:rPr>
    </w:lvl>
    <w:lvl w:ilvl="4">
      <w:start w:val="1"/>
      <w:numFmt w:val="bullet"/>
      <w:lvlText w:val="■"/>
      <w:lvlJc w:val="left"/>
      <w:pPr>
        <w:ind w:left="2200" w:hanging="440"/>
      </w:pPr>
      <w:rPr>
        <w:rFonts w:ascii="Noto Sans Symbols" w:cs="Noto Sans Symbols" w:eastAsia="Noto Sans Symbols" w:hAnsi="Noto Sans Symbols"/>
      </w:rPr>
    </w:lvl>
    <w:lvl w:ilvl="5">
      <w:start w:val="1"/>
      <w:numFmt w:val="bullet"/>
      <w:lvlText w:val="◆"/>
      <w:lvlJc w:val="left"/>
      <w:pPr>
        <w:ind w:left="2640" w:hanging="440"/>
      </w:pPr>
      <w:rPr>
        <w:rFonts w:ascii="Noto Sans Symbols" w:cs="Noto Sans Symbols" w:eastAsia="Noto Sans Symbols" w:hAnsi="Noto Sans Symbols"/>
      </w:rPr>
    </w:lvl>
    <w:lvl w:ilvl="6">
      <w:start w:val="1"/>
      <w:numFmt w:val="bullet"/>
      <w:lvlText w:val="●"/>
      <w:lvlJc w:val="left"/>
      <w:pPr>
        <w:ind w:left="3080" w:hanging="440"/>
      </w:pPr>
      <w:rPr>
        <w:rFonts w:ascii="Noto Sans Symbols" w:cs="Noto Sans Symbols" w:eastAsia="Noto Sans Symbols" w:hAnsi="Noto Sans Symbols"/>
      </w:rPr>
    </w:lvl>
    <w:lvl w:ilvl="7">
      <w:start w:val="1"/>
      <w:numFmt w:val="bullet"/>
      <w:lvlText w:val="■"/>
      <w:lvlJc w:val="left"/>
      <w:pPr>
        <w:ind w:left="3520" w:hanging="440"/>
      </w:pPr>
      <w:rPr>
        <w:rFonts w:ascii="Noto Sans Symbols" w:cs="Noto Sans Symbols" w:eastAsia="Noto Sans Symbols" w:hAnsi="Noto Sans Symbols"/>
      </w:rPr>
    </w:lvl>
    <w:lvl w:ilvl="8">
      <w:start w:val="1"/>
      <w:numFmt w:val="bullet"/>
      <w:lvlText w:val="◆"/>
      <w:lvlJc w:val="left"/>
      <w:pPr>
        <w:ind w:left="3960" w:hanging="44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7">
    <w:name w:val="heading 7"/>
    <w:basedOn w:val="a0"/>
    <w:next w:val="a0"/>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0"/>
    <w:next w:val="a0"/>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rPr>
  </w:style>
  <w:style w:type="paragraph" w:styleId="9">
    <w:name w:val="heading 9"/>
    <w:basedOn w:val="a0"/>
    <w:next w:val="a0"/>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rPr>
  </w:style>
  <w:style w:type="character" w:styleId="a1" w:default="1">
    <w:name w:val="Default Paragraph Font"/>
    <w:uiPriority w:val="1"/>
    <w:unhideWhenUsed w:val="1"/>
  </w:style>
  <w:style w:type="table" w:styleId="a2" w:default="1">
    <w:name w:val="Normal Table"/>
    <w:uiPriority w:val="99"/>
    <w:semiHidden w:val="1"/>
    <w:unhideWhenUsed w:val="1"/>
    <w:tblPr>
      <w:tblInd w:w="0.0" w:type="dxa"/>
      <w:tblCellMar>
        <w:top w:w="0.0" w:type="dxa"/>
        <w:left w:w="108.0" w:type="dxa"/>
        <w:bottom w:w="0.0" w:type="dxa"/>
        <w:right w:w="108.0" w:type="dxa"/>
      </w:tblCellMar>
    </w:tblPr>
  </w:style>
  <w:style w:type="numbering" w:styleId="a3"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6">
    <w:name w:val="header"/>
    <w:basedOn w:val="a0"/>
    <w:link w:val="a7"/>
    <w:uiPriority w:val="99"/>
    <w:unhideWhenUsed w:val="1"/>
    <w:rsid w:val="00E618BF"/>
    <w:pPr>
      <w:tabs>
        <w:tab w:val="center" w:pos="4680"/>
        <w:tab w:val="right" w:pos="9360"/>
      </w:tabs>
      <w:spacing w:after="0" w:line="240" w:lineRule="auto"/>
    </w:pPr>
  </w:style>
  <w:style w:type="character" w:styleId="a7" w:customStyle="1">
    <w:name w:val="页眉 字符"/>
    <w:basedOn w:val="a1"/>
    <w:link w:val="a6"/>
    <w:uiPriority w:val="99"/>
    <w:rsid w:val="00E618BF"/>
  </w:style>
  <w:style w:type="paragraph" w:styleId="a8">
    <w:name w:val="footer"/>
    <w:basedOn w:val="a0"/>
    <w:link w:val="a9"/>
    <w:uiPriority w:val="99"/>
    <w:unhideWhenUsed w:val="1"/>
    <w:rsid w:val="00E618BF"/>
    <w:pPr>
      <w:tabs>
        <w:tab w:val="center" w:pos="4680"/>
        <w:tab w:val="right" w:pos="9360"/>
      </w:tabs>
      <w:spacing w:after="0" w:line="240" w:lineRule="auto"/>
    </w:pPr>
  </w:style>
  <w:style w:type="character" w:styleId="a9" w:customStyle="1">
    <w:name w:val="页脚 字符"/>
    <w:basedOn w:val="a1"/>
    <w:link w:val="a8"/>
    <w:uiPriority w:val="99"/>
    <w:rsid w:val="00E618BF"/>
  </w:style>
  <w:style w:type="paragraph" w:styleId="aa">
    <w:name w:val="No Spacing"/>
    <w:uiPriority w:val="1"/>
    <w:qFormat w:val="1"/>
    <w:rsid w:val="00FC693F"/>
    <w:pPr>
      <w:spacing w:after="0" w:line="240" w:lineRule="auto"/>
    </w:pPr>
  </w:style>
  <w:style w:type="character" w:styleId="10" w:customStyle="1">
    <w:name w:val="标题 1 字符"/>
    <w:basedOn w:val="a1"/>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0" w:customStyle="1">
    <w:name w:val="标题 2 字符"/>
    <w:basedOn w:val="a1"/>
    <w:link w:val="2"/>
    <w:uiPriority w:val="9"/>
    <w:rsid w:val="00FC693F"/>
    <w:rPr>
      <w:rFonts w:asciiTheme="majorHAnsi" w:cstheme="majorBidi" w:eastAsiaTheme="majorEastAsia" w:hAnsiTheme="majorHAnsi"/>
      <w:b w:val="1"/>
      <w:bCs w:val="1"/>
      <w:color w:val="4f81bd" w:themeColor="accent1"/>
      <w:sz w:val="26"/>
      <w:szCs w:val="26"/>
    </w:rPr>
  </w:style>
  <w:style w:type="character" w:styleId="30" w:customStyle="1">
    <w:name w:val="标题 3 字符"/>
    <w:basedOn w:val="a1"/>
    <w:link w:val="3"/>
    <w:uiPriority w:val="9"/>
    <w:rsid w:val="00FC693F"/>
    <w:rPr>
      <w:rFonts w:asciiTheme="majorHAnsi" w:cstheme="majorBidi" w:eastAsiaTheme="majorEastAsia" w:hAnsiTheme="majorHAnsi"/>
      <w:b w:val="1"/>
      <w:bCs w:val="1"/>
      <w:color w:val="4f81bd" w:themeColor="accent1"/>
    </w:rPr>
  </w:style>
  <w:style w:type="character" w:styleId="a5" w:customStyle="1">
    <w:name w:val="标题 字符"/>
    <w:basedOn w:val="a1"/>
    <w:link w:val="a4"/>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b" w:customStyle="1">
    <w:name w:val="副标题 字符"/>
    <w:basedOn w:val="a1"/>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d">
    <w:name w:val="List Paragraph"/>
    <w:basedOn w:val="a0"/>
    <w:uiPriority w:val="34"/>
    <w:qFormat w:val="1"/>
    <w:rsid w:val="00FC693F"/>
    <w:pPr>
      <w:ind w:left="720"/>
      <w:contextualSpacing w:val="1"/>
    </w:pPr>
  </w:style>
  <w:style w:type="paragraph" w:styleId="ae">
    <w:name w:val="Body Text"/>
    <w:basedOn w:val="a0"/>
    <w:link w:val="af"/>
    <w:uiPriority w:val="99"/>
    <w:unhideWhenUsed w:val="1"/>
    <w:rsid w:val="00AA1D8D"/>
    <w:pPr>
      <w:spacing w:after="120"/>
    </w:pPr>
  </w:style>
  <w:style w:type="character" w:styleId="af" w:customStyle="1">
    <w:name w:val="正文文本 字符"/>
    <w:basedOn w:val="a1"/>
    <w:link w:val="ae"/>
    <w:uiPriority w:val="99"/>
    <w:rsid w:val="00AA1D8D"/>
  </w:style>
  <w:style w:type="paragraph" w:styleId="21">
    <w:name w:val="Body Text 2"/>
    <w:basedOn w:val="a0"/>
    <w:link w:val="22"/>
    <w:uiPriority w:val="99"/>
    <w:unhideWhenUsed w:val="1"/>
    <w:rsid w:val="00AA1D8D"/>
    <w:pPr>
      <w:spacing w:after="120" w:line="480" w:lineRule="auto"/>
    </w:pPr>
  </w:style>
  <w:style w:type="character" w:styleId="22" w:customStyle="1">
    <w:name w:val="正文文本 2 字符"/>
    <w:basedOn w:val="a1"/>
    <w:link w:val="21"/>
    <w:uiPriority w:val="99"/>
    <w:rsid w:val="00AA1D8D"/>
  </w:style>
  <w:style w:type="paragraph" w:styleId="31">
    <w:name w:val="Body Text 3"/>
    <w:basedOn w:val="a0"/>
    <w:link w:val="32"/>
    <w:uiPriority w:val="99"/>
    <w:unhideWhenUsed w:val="1"/>
    <w:rsid w:val="00AA1D8D"/>
    <w:pPr>
      <w:spacing w:after="120"/>
    </w:pPr>
    <w:rPr>
      <w:sz w:val="16"/>
      <w:szCs w:val="16"/>
    </w:rPr>
  </w:style>
  <w:style w:type="character" w:styleId="32" w:customStyle="1">
    <w:name w:val="正文文本 3 字符"/>
    <w:basedOn w:val="a1"/>
    <w:link w:val="31"/>
    <w:uiPriority w:val="99"/>
    <w:rsid w:val="00AA1D8D"/>
    <w:rPr>
      <w:sz w:val="16"/>
      <w:szCs w:val="16"/>
    </w:rPr>
  </w:style>
  <w:style w:type="paragraph" w:styleId="af0">
    <w:name w:val="List"/>
    <w:basedOn w:val="a0"/>
    <w:uiPriority w:val="99"/>
    <w:unhideWhenUsed w:val="1"/>
    <w:rsid w:val="00AA1D8D"/>
    <w:pPr>
      <w:ind w:left="360" w:hanging="360"/>
      <w:contextualSpacing w:val="1"/>
    </w:pPr>
  </w:style>
  <w:style w:type="paragraph" w:styleId="23">
    <w:name w:val="List 2"/>
    <w:basedOn w:val="a0"/>
    <w:uiPriority w:val="99"/>
    <w:unhideWhenUsed w:val="1"/>
    <w:rsid w:val="00326F90"/>
    <w:pPr>
      <w:ind w:left="720" w:hanging="360"/>
      <w:contextualSpacing w:val="1"/>
    </w:pPr>
  </w:style>
  <w:style w:type="paragraph" w:styleId="33">
    <w:name w:val="List 3"/>
    <w:basedOn w:val="a0"/>
    <w:uiPriority w:val="99"/>
    <w:unhideWhenUsed w:val="1"/>
    <w:rsid w:val="00326F90"/>
    <w:pPr>
      <w:ind w:left="1080" w:hanging="360"/>
      <w:contextualSpacing w:val="1"/>
    </w:pPr>
  </w:style>
  <w:style w:type="paragraph" w:styleId="a">
    <w:name w:val="List Bullet"/>
    <w:basedOn w:val="a0"/>
    <w:uiPriority w:val="99"/>
    <w:unhideWhenUsed w:val="1"/>
    <w:rsid w:val="00326F90"/>
    <w:pPr>
      <w:numPr>
        <w:numId w:val="1"/>
      </w:numPr>
      <w:contextualSpacing w:val="1"/>
    </w:pPr>
  </w:style>
  <w:style w:type="paragraph" w:styleId="24">
    <w:name w:val="List Bullet 2"/>
    <w:basedOn w:val="a0"/>
    <w:uiPriority w:val="99"/>
    <w:unhideWhenUsed w:val="1"/>
    <w:rsid w:val="00326F90"/>
    <w:pPr>
      <w:tabs>
        <w:tab w:val="num" w:pos="720"/>
      </w:tabs>
      <w:ind w:left="720" w:hanging="720"/>
      <w:contextualSpacing w:val="1"/>
    </w:pPr>
  </w:style>
  <w:style w:type="paragraph" w:styleId="34">
    <w:name w:val="List Bullet 3"/>
    <w:basedOn w:val="a0"/>
    <w:uiPriority w:val="99"/>
    <w:unhideWhenUsed w:val="1"/>
    <w:rsid w:val="00326F90"/>
    <w:pPr>
      <w:tabs>
        <w:tab w:val="num" w:pos="720"/>
      </w:tabs>
      <w:ind w:left="720" w:hanging="720"/>
      <w:contextualSpacing w:val="1"/>
    </w:pPr>
  </w:style>
  <w:style w:type="paragraph" w:styleId="af1">
    <w:name w:val="List Number"/>
    <w:basedOn w:val="a0"/>
    <w:uiPriority w:val="99"/>
    <w:unhideWhenUsed w:val="1"/>
    <w:rsid w:val="00326F90"/>
    <w:pPr>
      <w:tabs>
        <w:tab w:val="num" w:pos="720"/>
      </w:tabs>
      <w:ind w:left="720" w:hanging="720"/>
      <w:contextualSpacing w:val="1"/>
    </w:pPr>
  </w:style>
  <w:style w:type="paragraph" w:styleId="25">
    <w:name w:val="List Number 2"/>
    <w:basedOn w:val="a0"/>
    <w:uiPriority w:val="99"/>
    <w:unhideWhenUsed w:val="1"/>
    <w:rsid w:val="0029639D"/>
    <w:pPr>
      <w:tabs>
        <w:tab w:val="num" w:pos="720"/>
      </w:tabs>
      <w:ind w:left="720" w:hanging="720"/>
      <w:contextualSpacing w:val="1"/>
    </w:pPr>
  </w:style>
  <w:style w:type="paragraph" w:styleId="35">
    <w:name w:val="List Number 3"/>
    <w:basedOn w:val="a0"/>
    <w:uiPriority w:val="99"/>
    <w:unhideWhenUsed w:val="1"/>
    <w:rsid w:val="0029639D"/>
    <w:pPr>
      <w:tabs>
        <w:tab w:val="num" w:pos="720"/>
      </w:tabs>
      <w:ind w:left="720" w:hanging="720"/>
      <w:contextualSpacing w:val="1"/>
    </w:pPr>
  </w:style>
  <w:style w:type="paragraph" w:styleId="af2">
    <w:name w:val="List Continue"/>
    <w:basedOn w:val="a0"/>
    <w:uiPriority w:val="99"/>
    <w:unhideWhenUsed w:val="1"/>
    <w:rsid w:val="0029639D"/>
    <w:pPr>
      <w:spacing w:after="120"/>
      <w:ind w:left="360"/>
      <w:contextualSpacing w:val="1"/>
    </w:pPr>
  </w:style>
  <w:style w:type="paragraph" w:styleId="26">
    <w:name w:val="List Continue 2"/>
    <w:basedOn w:val="a0"/>
    <w:uiPriority w:val="99"/>
    <w:unhideWhenUsed w:val="1"/>
    <w:rsid w:val="0029639D"/>
    <w:pPr>
      <w:spacing w:after="120"/>
      <w:ind w:left="720"/>
      <w:contextualSpacing w:val="1"/>
    </w:pPr>
  </w:style>
  <w:style w:type="paragraph" w:styleId="36">
    <w:name w:val="List Continue 3"/>
    <w:basedOn w:val="a0"/>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rPr>
  </w:style>
  <w:style w:type="character" w:styleId="af4" w:customStyle="1">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val="1"/>
    <w:rsid w:val="00FC693F"/>
    <w:rPr>
      <w:i w:val="1"/>
      <w:iCs w:val="1"/>
      <w:color w:val="000000" w:themeColor="text1"/>
    </w:rPr>
  </w:style>
  <w:style w:type="character" w:styleId="af6" w:customStyle="1">
    <w:name w:val="引用 字符"/>
    <w:basedOn w:val="a1"/>
    <w:link w:val="af5"/>
    <w:uiPriority w:val="29"/>
    <w:rsid w:val="00FC693F"/>
    <w:rPr>
      <w:i w:val="1"/>
      <w:iCs w:val="1"/>
      <w:color w:val="000000" w:themeColor="text1"/>
    </w:rPr>
  </w:style>
  <w:style w:type="character" w:styleId="40" w:customStyle="1">
    <w:name w:val="标题 4 字符"/>
    <w:basedOn w:val="a1"/>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标题 5 字符"/>
    <w:basedOn w:val="a1"/>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标题 6 字符"/>
    <w:basedOn w:val="a1"/>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标题 7 字符"/>
    <w:basedOn w:val="a1"/>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标题 8 字符"/>
    <w:basedOn w:val="a1"/>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标题 9 字符"/>
    <w:basedOn w:val="a1"/>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7">
    <w:name w:val="caption"/>
    <w:basedOn w:val="a0"/>
    <w:next w:val="a0"/>
    <w:uiPriority w:val="35"/>
    <w:semiHidden w:val="1"/>
    <w:unhideWhenUsed w:val="1"/>
    <w:qFormat w:val="1"/>
    <w:rsid w:val="00FC693F"/>
    <w:pPr>
      <w:spacing w:line="240" w:lineRule="auto"/>
    </w:pPr>
    <w:rPr>
      <w:b w:val="1"/>
      <w:bCs w:val="1"/>
      <w:color w:val="4f81bd" w:themeColor="accent1"/>
      <w:sz w:val="18"/>
      <w:szCs w:val="18"/>
    </w:rPr>
  </w:style>
  <w:style w:type="character" w:styleId="af8">
    <w:name w:val="Strong"/>
    <w:basedOn w:val="a1"/>
    <w:uiPriority w:val="22"/>
    <w:qFormat w:val="1"/>
    <w:rsid w:val="00FC693F"/>
    <w:rPr>
      <w:b w:val="1"/>
      <w:bCs w:val="1"/>
    </w:rPr>
  </w:style>
  <w:style w:type="character" w:styleId="af9">
    <w:name w:val="Emphasis"/>
    <w:basedOn w:val="a1"/>
    <w:uiPriority w:val="20"/>
    <w:qFormat w:val="1"/>
    <w:rsid w:val="00FC693F"/>
    <w:rPr>
      <w:i w:val="1"/>
      <w:iCs w:val="1"/>
    </w:rPr>
  </w:style>
  <w:style w:type="paragraph" w:styleId="afa">
    <w:name w:val="Intense Quote"/>
    <w:basedOn w:val="a0"/>
    <w:next w:val="a0"/>
    <w:link w:val="afb"/>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b" w:customStyle="1">
    <w:name w:val="明显引用 字符"/>
    <w:basedOn w:val="a1"/>
    <w:link w:val="afa"/>
    <w:uiPriority w:val="30"/>
    <w:rsid w:val="00FC693F"/>
    <w:rPr>
      <w:b w:val="1"/>
      <w:bCs w:val="1"/>
      <w:i w:val="1"/>
      <w:iCs w:val="1"/>
      <w:color w:val="4f81bd" w:themeColor="accent1"/>
    </w:rPr>
  </w:style>
  <w:style w:type="character" w:styleId="afc">
    <w:name w:val="Subtle Emphasis"/>
    <w:basedOn w:val="a1"/>
    <w:uiPriority w:val="19"/>
    <w:qFormat w:val="1"/>
    <w:rsid w:val="00FC693F"/>
    <w:rPr>
      <w:i w:val="1"/>
      <w:iCs w:val="1"/>
      <w:color w:val="808080" w:themeColor="text1" w:themeTint="00007F"/>
    </w:rPr>
  </w:style>
  <w:style w:type="character" w:styleId="afd">
    <w:name w:val="Intense Emphasis"/>
    <w:basedOn w:val="a1"/>
    <w:uiPriority w:val="21"/>
    <w:qFormat w:val="1"/>
    <w:rsid w:val="00FC693F"/>
    <w:rPr>
      <w:b w:val="1"/>
      <w:bCs w:val="1"/>
      <w:i w:val="1"/>
      <w:iCs w:val="1"/>
      <w:color w:val="4f81bd" w:themeColor="accent1"/>
    </w:rPr>
  </w:style>
  <w:style w:type="character" w:styleId="afe">
    <w:name w:val="Subtle Reference"/>
    <w:basedOn w:val="a1"/>
    <w:uiPriority w:val="31"/>
    <w:qFormat w:val="1"/>
    <w:rsid w:val="00FC693F"/>
    <w:rPr>
      <w:smallCaps w:val="1"/>
      <w:color w:val="c0504d" w:themeColor="accent2"/>
      <w:u w:val="single"/>
    </w:rPr>
  </w:style>
  <w:style w:type="character" w:styleId="aff">
    <w:name w:val="Intense Reference"/>
    <w:basedOn w:val="a1"/>
    <w:uiPriority w:val="32"/>
    <w:qFormat w:val="1"/>
    <w:rsid w:val="00FC693F"/>
    <w:rPr>
      <w:b w:val="1"/>
      <w:bCs w:val="1"/>
      <w:smallCaps w:val="1"/>
      <w:color w:val="c0504d" w:themeColor="accent2"/>
      <w:spacing w:val="5"/>
      <w:u w:val="single"/>
    </w:rPr>
  </w:style>
  <w:style w:type="character" w:styleId="aff0">
    <w:name w:val="Book Title"/>
    <w:basedOn w:val="a1"/>
    <w:uiPriority w:val="33"/>
    <w:qFormat w:val="1"/>
    <w:rsid w:val="00FC693F"/>
    <w:rPr>
      <w:b w:val="1"/>
      <w:bCs w:val="1"/>
      <w:smallCaps w:val="1"/>
      <w:spacing w:val="5"/>
    </w:rPr>
  </w:style>
  <w:style w:type="paragraph" w:styleId="TOC">
    <w:name w:val="TOC Heading"/>
    <w:basedOn w:val="1"/>
    <w:next w:val="a0"/>
    <w:uiPriority w:val="39"/>
    <w:semiHidden w:val="1"/>
    <w:unhideWhenUsed w:val="1"/>
    <w:qFormat w:val="1"/>
    <w:rsid w:val="00FC693F"/>
    <w:pPr>
      <w:outlineLvl w:val="9"/>
    </w:pPr>
  </w:style>
  <w:style w:type="table" w:styleId="aff1">
    <w:name w:val="Table Grid"/>
    <w:basedOn w:val="a2"/>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f2">
    <w:name w:val="Light Shading"/>
    <w:basedOn w:val="a2"/>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2"/>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2"/>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2"/>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2"/>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2"/>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2"/>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3">
    <w:name w:val="Light List"/>
    <w:basedOn w:val="a2"/>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2"/>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2"/>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2"/>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2"/>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2"/>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2"/>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4">
    <w:name w:val="Light Grid"/>
    <w:basedOn w:val="a2"/>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2"/>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2"/>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2"/>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2"/>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2"/>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2"/>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2"/>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8">
    <w:name w:val="Medium List 2"/>
    <w:basedOn w:val="a2"/>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2"/>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2"/>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2"/>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2"/>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2"/>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2"/>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2"/>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2"/>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2"/>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2"/>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2"/>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2"/>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9">
    <w:name w:val="Medium Grid 2"/>
    <w:basedOn w:val="a2"/>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2"/>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2"/>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2"/>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2"/>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2"/>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2"/>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aff9">
    <w:name w:val="Hyperlink"/>
    <w:basedOn w:val="a1"/>
    <w:uiPriority w:val="99"/>
    <w:unhideWhenUsed w:val="1"/>
    <w:rsid w:val="00614A36"/>
    <w:rPr>
      <w:color w:val="0000ff" w:themeColor="hyperlink"/>
      <w:u w:val="single"/>
    </w:rPr>
  </w:style>
  <w:style w:type="character" w:styleId="affa">
    <w:name w:val="Unresolved Mention"/>
    <w:basedOn w:val="a1"/>
    <w:uiPriority w:val="99"/>
    <w:semiHidden w:val="1"/>
    <w:unhideWhenUsed w:val="1"/>
    <w:rsid w:val="00614A36"/>
    <w:rPr>
      <w:color w:val="605e5c"/>
      <w:shd w:color="auto" w:fill="e1dfdd" w:val="clear"/>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zZvizbQV50jkv5HklfuyCMMNNA==">CgMxLjAyDmguMmljemRpc3F2c3d2OAByITEyWUJ4VE1FUTJlNHJ0SjR5MG1kUzhKd2FEdEt6a0RtaA==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