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0"/>
        <w:gridCol w:w="6612"/>
      </w:tblGrid>
      <w:tr w:rsidR="002849BA" w14:paraId="2FAAE7D6" w14:textId="77777777" w:rsidTr="002849BA">
        <w:tc>
          <w:tcPr>
            <w:tcW w:w="2460" w:type="dxa"/>
          </w:tcPr>
          <w:p w14:paraId="590B1625" w14:textId="4C2CFB23" w:rsidR="002849BA" w:rsidRDefault="002849BA" w:rsidP="002849BA">
            <w:r>
              <w:rPr>
                <w:noProof/>
                <w:szCs w:val="40"/>
              </w:rPr>
              <w:drawing>
                <wp:inline distT="0" distB="0" distL="0" distR="0" wp14:anchorId="74AB4F91" wp14:editId="24372BE8">
                  <wp:extent cx="1424940" cy="972185"/>
                  <wp:effectExtent l="0" t="0" r="0" b="0"/>
                  <wp:docPr id="99972954" name="Grafika 1" descr="Twoj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72954" name="Grafika 1" descr="Twoje logo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2" w:type="dxa"/>
          </w:tcPr>
          <w:p w14:paraId="195D69A7" w14:textId="44CFA2F5" w:rsidR="002849BA" w:rsidRDefault="002849BA" w:rsidP="002849BA">
            <w:pPr>
              <w:pStyle w:val="Tytu"/>
            </w:pPr>
            <w:r w:rsidRPr="0067592C">
              <w:t>Szablon wymagań dostępności w</w:t>
            </w:r>
            <w:r>
              <w:t> </w:t>
            </w:r>
            <w:r w:rsidRPr="0067592C">
              <w:t>zakupach</w:t>
            </w:r>
            <w:r>
              <w:t xml:space="preserve"> rozwiązań</w:t>
            </w:r>
            <w:r w:rsidRPr="0067592C">
              <w:t xml:space="preserve"> </w:t>
            </w:r>
            <w:r>
              <w:t xml:space="preserve">zawierających </w:t>
            </w:r>
            <w:r w:rsidRPr="0067592C">
              <w:t>technologi</w:t>
            </w:r>
            <w:r>
              <w:t>e </w:t>
            </w:r>
            <w:r w:rsidRPr="0067592C">
              <w:t>i</w:t>
            </w:r>
            <w:r>
              <w:t> </w:t>
            </w:r>
            <w:r w:rsidRPr="0067592C">
              <w:t>treści cyfrow</w:t>
            </w:r>
            <w:r>
              <w:t>e</w:t>
            </w:r>
            <w:r w:rsidRPr="0067592C">
              <w:t> </w:t>
            </w:r>
          </w:p>
        </w:tc>
      </w:tr>
    </w:tbl>
    <w:p w14:paraId="102FD71A" w14:textId="2575CDB2" w:rsidR="0067592C" w:rsidRDefault="0067592C" w:rsidP="002849BA">
      <w:pPr>
        <w:pStyle w:val="Akapitzlist"/>
        <w:numPr>
          <w:ilvl w:val="0"/>
          <w:numId w:val="9"/>
        </w:numPr>
        <w:spacing w:before="400"/>
        <w:ind w:left="357" w:hanging="357"/>
        <w:rPr>
          <w:rStyle w:val="Pogrubienie"/>
        </w:rPr>
      </w:pPr>
      <w:r w:rsidRPr="00457BB5">
        <w:rPr>
          <w:rStyle w:val="Pogrubienie"/>
          <w:color w:val="215E99" w:themeColor="text2" w:themeTint="BF"/>
        </w:rPr>
        <w:t>W-01. Zgodność</w:t>
      </w:r>
      <w:r w:rsidRPr="00406442">
        <w:rPr>
          <w:rStyle w:val="Pogrubienie"/>
        </w:rPr>
        <w:t xml:space="preserve">. Dostawca opisze, w jaki sposób zapewni, że oferowane rozwiązanie będzie spełniać i utrzymywać zgodność z kryteriami sukcesu WCAG ujętymi w </w:t>
      </w:r>
      <w:hyperlink r:id="rId7" w:tgtFrame="_blank" w:history="1">
        <w:r w:rsidR="00BD1FE9" w:rsidRPr="00BD1FE9">
          <w:rPr>
            <w:rStyle w:val="Hipercze"/>
            <w:b/>
            <w:bCs/>
          </w:rPr>
          <w:t>PN-ETSI EN 301 549</w:t>
        </w:r>
      </w:hyperlink>
      <w:r w:rsidR="00BD1FE9">
        <w:t xml:space="preserve"> </w:t>
      </w:r>
      <w:r w:rsidRPr="00406442">
        <w:rPr>
          <w:rStyle w:val="Pogrubienie"/>
        </w:rPr>
        <w:t>zgodnie z przepis</w:t>
      </w:r>
      <w:r w:rsidR="00406442">
        <w:rPr>
          <w:rStyle w:val="Pogrubienie"/>
        </w:rPr>
        <w:t>ami</w:t>
      </w:r>
      <w:r w:rsidRPr="00406442">
        <w:rPr>
          <w:rStyle w:val="Pogrubienie"/>
        </w:rPr>
        <w:t xml:space="preserve"> ustawy o dostępności cyfrowej... </w:t>
      </w:r>
      <w:r w:rsidR="003164D4" w:rsidRPr="003164D4">
        <w:rPr>
          <w:rStyle w:val="Pogrubienie"/>
        </w:rPr>
        <w:t xml:space="preserve">oraz wymaganiami wykraczającymi ponad ujęte w </w:t>
      </w:r>
      <w:r w:rsidR="00406442" w:rsidRPr="00406442">
        <w:rPr>
          <w:rStyle w:val="Pogrubienie"/>
        </w:rPr>
        <w:t>PN</w:t>
      </w:r>
      <w:r w:rsidR="00BD1FE9">
        <w:rPr>
          <w:rStyle w:val="Pogrubienie"/>
        </w:rPr>
        <w:t>-</w:t>
      </w:r>
      <w:r w:rsidR="00406442" w:rsidRPr="00406442">
        <w:rPr>
          <w:rStyle w:val="Pogrubienie"/>
        </w:rPr>
        <w:t xml:space="preserve">ETSI </w:t>
      </w:r>
      <w:r w:rsidR="00BD1FE9">
        <w:rPr>
          <w:rStyle w:val="Pogrubienie"/>
        </w:rPr>
        <w:t xml:space="preserve">EN </w:t>
      </w:r>
      <w:r w:rsidR="00406442" w:rsidRPr="00406442">
        <w:rPr>
          <w:rStyle w:val="Pogrubienie"/>
        </w:rPr>
        <w:t xml:space="preserve">301 549 (np. </w:t>
      </w:r>
      <w:r w:rsidR="00406442">
        <w:rPr>
          <w:rStyle w:val="Pogrubienie"/>
        </w:rPr>
        <w:t>niektóre kryteria sukcesu</w:t>
      </w:r>
      <w:r w:rsidR="00406442" w:rsidRPr="00406442">
        <w:rPr>
          <w:rStyle w:val="Pogrubienie"/>
        </w:rPr>
        <w:t xml:space="preserve"> na</w:t>
      </w:r>
      <w:r w:rsidR="00406442">
        <w:rPr>
          <w:rStyle w:val="Pogrubienie"/>
        </w:rPr>
        <w:t> </w:t>
      </w:r>
      <w:r w:rsidR="00406442" w:rsidRPr="00406442">
        <w:rPr>
          <w:rStyle w:val="Pogrubienie"/>
        </w:rPr>
        <w:t>poziomie WCAG AAA</w:t>
      </w:r>
      <w:r w:rsidR="003164D4" w:rsidRPr="003164D4">
        <w:rPr>
          <w:rStyle w:val="Pogrubienie"/>
        </w:rPr>
        <w:t>, dobre praktyki</w:t>
      </w:r>
      <w:r w:rsidR="00406442" w:rsidRPr="00406442">
        <w:rPr>
          <w:rStyle w:val="Pogrubienie"/>
        </w:rPr>
        <w:t>)</w:t>
      </w:r>
      <w:r w:rsidRPr="00406442">
        <w:rPr>
          <w:rStyle w:val="Pogrubienie"/>
        </w:rPr>
        <w:t xml:space="preserve">. </w:t>
      </w:r>
    </w:p>
    <w:p w14:paraId="27290B4E" w14:textId="561EFBC0" w:rsidR="0067592C" w:rsidRDefault="0067592C" w:rsidP="0067592C">
      <w:pPr>
        <w:pStyle w:val="Akapitzlist"/>
        <w:ind w:left="360"/>
      </w:pPr>
      <w:r>
        <w:t>A</w:t>
      </w:r>
      <w:r w:rsidRPr="0067592C">
        <w:t xml:space="preserve">by udowodnić, w jaki sposób oferowane rozwiązanie spełnia lub częściowo spełnia standardy WCAG </w:t>
      </w:r>
      <w:r>
        <w:t>d</w:t>
      </w:r>
      <w:r w:rsidRPr="0067592C">
        <w:t>ostawca może przedstawić:</w:t>
      </w:r>
    </w:p>
    <w:p w14:paraId="512AB2D1" w14:textId="7171367B" w:rsidR="0067592C" w:rsidRDefault="0067592C" w:rsidP="0067592C">
      <w:pPr>
        <w:pStyle w:val="Akapitzlist"/>
        <w:numPr>
          <w:ilvl w:val="1"/>
          <w:numId w:val="9"/>
        </w:numPr>
      </w:pPr>
      <w:r w:rsidRPr="0067592C">
        <w:t>raporty z testów, w tym zastosowane metody badania, wykaz użytych narzędzi testowych</w:t>
      </w:r>
      <w:r>
        <w:t xml:space="preserve"> oraz </w:t>
      </w:r>
      <w:r w:rsidRPr="0067592C">
        <w:t xml:space="preserve">przebieg procesu audytu lub procesu audytu podwykonawcy, którego zaangażował do testów zewnętrznych. </w:t>
      </w:r>
    </w:p>
    <w:p w14:paraId="11903D9D" w14:textId="2AA94FBC" w:rsidR="0067592C" w:rsidRPr="0067592C" w:rsidRDefault="0067592C" w:rsidP="0067592C">
      <w:pPr>
        <w:pStyle w:val="Akapitzlist"/>
        <w:numPr>
          <w:ilvl w:val="1"/>
          <w:numId w:val="9"/>
        </w:numPr>
      </w:pPr>
      <w:r w:rsidRPr="0067592C">
        <w:t>szczegółowy raport z audytu zgodności z WCAG, VPAT, ACR (raport zgodności produktu), dowody testów z użyciem technologii wspomagających lub testów z</w:t>
      </w:r>
      <w:r>
        <w:t> </w:t>
      </w:r>
      <w:r w:rsidRPr="0067592C">
        <w:t xml:space="preserve">grupami użytkowników z niepełnosprawnościami. </w:t>
      </w:r>
    </w:p>
    <w:p w14:paraId="498E4B60" w14:textId="3819A676" w:rsidR="0067592C" w:rsidRPr="0067592C" w:rsidRDefault="0067592C" w:rsidP="0067592C">
      <w:pPr>
        <w:pStyle w:val="Akapitzlist"/>
        <w:ind w:left="360"/>
      </w:pPr>
      <w:r w:rsidRPr="00406442">
        <w:rPr>
          <w:rStyle w:val="Pogrubienie"/>
        </w:rPr>
        <w:t>Gdy produkt jest częściowo zgodny</w:t>
      </w:r>
      <w:r w:rsidRPr="0067592C">
        <w:t xml:space="preserve">, dostawca przedstawi również swój plan </w:t>
      </w:r>
      <w:r w:rsidR="00406442">
        <w:t>naprawienia niezgodności</w:t>
      </w:r>
      <w:r w:rsidRPr="0067592C">
        <w:t xml:space="preserve"> oraz w jaki sposób planuje testować i utrzymywać zgodność w przyszłości. </w:t>
      </w:r>
    </w:p>
    <w:p w14:paraId="1DCBBBD2" w14:textId="291D10F6" w:rsidR="00406442" w:rsidRDefault="0067592C" w:rsidP="0067592C">
      <w:pPr>
        <w:pStyle w:val="Akapitzlist"/>
        <w:numPr>
          <w:ilvl w:val="0"/>
          <w:numId w:val="9"/>
        </w:numPr>
      </w:pPr>
      <w:r w:rsidRPr="00457BB5">
        <w:rPr>
          <w:rStyle w:val="Pogrubienie"/>
          <w:color w:val="215E99" w:themeColor="text2" w:themeTint="BF"/>
        </w:rPr>
        <w:t>W-02. Dostosowanie</w:t>
      </w:r>
      <w:r w:rsidRPr="0067592C">
        <w:t xml:space="preserve">. </w:t>
      </w:r>
      <w:r w:rsidR="003164D4" w:rsidRPr="003164D4">
        <w:rPr>
          <w:rStyle w:val="Pogrubienie"/>
        </w:rPr>
        <w:t>Dostawca opisze możliwości dostosowania przez nabywcę motywów, graficznego interfejsu użytkownika i funkcjonalności</w:t>
      </w:r>
      <w:r w:rsidRPr="00406442">
        <w:rPr>
          <w:rStyle w:val="Pogrubienie"/>
        </w:rPr>
        <w:t>.</w:t>
      </w:r>
      <w:r w:rsidRPr="0067592C">
        <w:t xml:space="preserve"> </w:t>
      </w:r>
    </w:p>
    <w:p w14:paraId="62C73F5A" w14:textId="489A29DD" w:rsidR="00457BB5" w:rsidRDefault="003164D4" w:rsidP="00406442">
      <w:pPr>
        <w:pStyle w:val="Akapitzlist"/>
        <w:ind w:left="360"/>
      </w:pPr>
      <w:r w:rsidRPr="003164D4">
        <w:t>Dostawca określi, jaki wpływ na zgodność z wymogami dostępności mogą mieć dostosowania oraz w jaki sposób dostawca wspiera nabywcę w sprawdzaniu i</w:t>
      </w:r>
      <w:r>
        <w:t> </w:t>
      </w:r>
      <w:r w:rsidRPr="003164D4">
        <w:t xml:space="preserve">łagodzeniu zagrożeń związanych z dostępnością </w:t>
      </w:r>
      <w:r>
        <w:t xml:space="preserve">dostosowań </w:t>
      </w:r>
      <w:r w:rsidRPr="003164D4">
        <w:t>wprowadzanych podczas procesu wdrażania</w:t>
      </w:r>
      <w:r w:rsidR="0067592C" w:rsidRPr="0067592C">
        <w:t xml:space="preserve">. </w:t>
      </w:r>
    </w:p>
    <w:p w14:paraId="72EE8C7F" w14:textId="1832E2A7" w:rsidR="0067592C" w:rsidRPr="0067592C" w:rsidRDefault="0067592C" w:rsidP="00406442">
      <w:pPr>
        <w:pStyle w:val="Akapitzlist"/>
        <w:ind w:left="360"/>
      </w:pPr>
      <w:r w:rsidRPr="0067592C">
        <w:t>Na przykład, czy dostawca przechowuje wytyczne dotyczące sposobu wdrażania zmian w graficznym interfejsie użytkownika lub motywie, aby zachować wymagania dotyczące kolorów lub powiększenia</w:t>
      </w:r>
      <w:r w:rsidR="00457BB5">
        <w:t>.</w:t>
      </w:r>
      <w:r w:rsidRPr="0067592C">
        <w:t xml:space="preserve"> </w:t>
      </w:r>
      <w:r w:rsidR="00457BB5">
        <w:t>A</w:t>
      </w:r>
      <w:r w:rsidRPr="0067592C">
        <w:t>lbo czy dostawca przechowuje listę</w:t>
      </w:r>
      <w:r w:rsidR="00457BB5">
        <w:t xml:space="preserve"> użytych</w:t>
      </w:r>
      <w:r w:rsidRPr="0067592C">
        <w:t xml:space="preserve"> komponentów i ich znane problemy z dostępnością, aby </w:t>
      </w:r>
      <w:r w:rsidR="00457BB5">
        <w:t>nabywca</w:t>
      </w:r>
      <w:r w:rsidRPr="0067592C">
        <w:t xml:space="preserve"> m</w:t>
      </w:r>
      <w:r w:rsidR="00457BB5">
        <w:t>ógł</w:t>
      </w:r>
      <w:r w:rsidRPr="0067592C">
        <w:t xml:space="preserve"> wybrać przed wdrożeniem tylko dostępne komponenty. </w:t>
      </w:r>
    </w:p>
    <w:p w14:paraId="40610F05" w14:textId="1054E1F3" w:rsidR="00457BB5" w:rsidRDefault="0067592C" w:rsidP="0067592C">
      <w:pPr>
        <w:pStyle w:val="Akapitzlist"/>
        <w:numPr>
          <w:ilvl w:val="0"/>
          <w:numId w:val="9"/>
        </w:numPr>
      </w:pPr>
      <w:r w:rsidRPr="00457BB5">
        <w:rPr>
          <w:rStyle w:val="Pogrubienie"/>
          <w:color w:val="215E99" w:themeColor="text2" w:themeTint="BF"/>
        </w:rPr>
        <w:t>W-03. Tworzenie treści</w:t>
      </w:r>
      <w:r w:rsidRPr="0067592C">
        <w:t xml:space="preserve">. </w:t>
      </w:r>
      <w:r w:rsidRPr="00457BB5">
        <w:rPr>
          <w:rStyle w:val="Pogrubienie"/>
        </w:rPr>
        <w:t xml:space="preserve">Dostawca opisze, w jaki sposób rozwiązanie wspiera tworzenie dostępnych treści </w:t>
      </w:r>
      <w:r w:rsidR="00457BB5">
        <w:rPr>
          <w:rStyle w:val="Pogrubienie"/>
        </w:rPr>
        <w:t>cyfrowych</w:t>
      </w:r>
      <w:r w:rsidRPr="00457BB5">
        <w:rPr>
          <w:rStyle w:val="Pogrubienie"/>
        </w:rPr>
        <w:t xml:space="preserve"> i zapewnia ich zgodność z WCAG</w:t>
      </w:r>
      <w:r w:rsidRPr="0067592C">
        <w:t xml:space="preserve">. </w:t>
      </w:r>
    </w:p>
    <w:p w14:paraId="4490D02F" w14:textId="2208502D" w:rsidR="0067592C" w:rsidRPr="0067592C" w:rsidRDefault="0067592C" w:rsidP="00457BB5">
      <w:pPr>
        <w:pStyle w:val="Akapitzlist"/>
        <w:ind w:left="360"/>
      </w:pPr>
      <w:r w:rsidRPr="0067592C">
        <w:t>Na przykład, czy i jakie mechanizmy</w:t>
      </w:r>
      <w:r w:rsidR="00457BB5">
        <w:t xml:space="preserve"> </w:t>
      </w:r>
      <w:r w:rsidRPr="0067592C">
        <w:t xml:space="preserve">lub wskazówki zawiera rozwiązanie, aby pomóc twórcom treści w przesyłaniu lub pisaniu dostępnych treści internetowych, takie jak </w:t>
      </w:r>
      <w:r w:rsidR="00457BB5">
        <w:t>wbudowane</w:t>
      </w:r>
      <w:r w:rsidRPr="0067592C">
        <w:t xml:space="preserve"> testy struktury nagłówków, obecności tekstów alternatywnych, itp. </w:t>
      </w:r>
    </w:p>
    <w:p w14:paraId="7DBEE9F8" w14:textId="52F070F7" w:rsidR="00457BB5" w:rsidRPr="00457BB5" w:rsidRDefault="0067592C" w:rsidP="0067592C">
      <w:pPr>
        <w:pStyle w:val="Akapitzlist"/>
        <w:numPr>
          <w:ilvl w:val="0"/>
          <w:numId w:val="9"/>
        </w:numPr>
        <w:rPr>
          <w:rStyle w:val="Pogrubienie"/>
        </w:rPr>
      </w:pPr>
      <w:r w:rsidRPr="00457BB5">
        <w:rPr>
          <w:rStyle w:val="Pogrubienie"/>
          <w:color w:val="215E99" w:themeColor="text2" w:themeTint="BF"/>
        </w:rPr>
        <w:t>W-04. Narzędzia dla pracowników</w:t>
      </w:r>
      <w:r w:rsidRPr="00457BB5">
        <w:rPr>
          <w:rStyle w:val="Pogrubienie"/>
        </w:rPr>
        <w:t xml:space="preserve">. Dostawca opisze, w jaki sposób rozwiązanie wspiera pracowników z niepełnosprawnościami w korzystaniu z narzędzi do </w:t>
      </w:r>
      <w:r w:rsidRPr="00457BB5">
        <w:rPr>
          <w:rStyle w:val="Pogrubienie"/>
        </w:rPr>
        <w:lastRenderedPageBreak/>
        <w:t>tworzenia treści, zgodnie z wytycznymi ATAG (</w:t>
      </w:r>
      <w:hyperlink r:id="rId8" w:history="1">
        <w:r w:rsidRPr="00457BB5">
          <w:rPr>
            <w:rStyle w:val="Hipercze"/>
            <w:b/>
            <w:bCs/>
          </w:rPr>
          <w:t>Authoring Tools Accessibility Guidelines 2.0</w:t>
        </w:r>
      </w:hyperlink>
      <w:r w:rsidRPr="00457BB5">
        <w:rPr>
          <w:rStyle w:val="Pogrubienie"/>
        </w:rPr>
        <w:t xml:space="preserve">). </w:t>
      </w:r>
    </w:p>
    <w:p w14:paraId="028F7238" w14:textId="72304849" w:rsidR="0067592C" w:rsidRPr="0067592C" w:rsidRDefault="0067592C" w:rsidP="00457BB5">
      <w:pPr>
        <w:pStyle w:val="Akapitzlist"/>
        <w:ind w:left="360"/>
      </w:pPr>
      <w:r w:rsidRPr="0067592C">
        <w:t xml:space="preserve">Na przykład, w jaki sposób ekrany </w:t>
      </w:r>
      <w:r w:rsidR="00457BB5">
        <w:t xml:space="preserve">interfejsu redakcyjnego </w:t>
      </w:r>
      <w:r w:rsidRPr="0067592C">
        <w:t xml:space="preserve">działają z elementami sterującymi klawiatury i technologiami wspomagającymi, takimi jak czytniki ekranu lub oprogramowanie do dyktowania, aby osobom z niepełnosprawnościami </w:t>
      </w:r>
      <w:r w:rsidR="003164D4" w:rsidRPr="0067592C">
        <w:t xml:space="preserve">zapewnić </w:t>
      </w:r>
      <w:r w:rsidRPr="0067592C">
        <w:t>możliwość nawigacji i interakcji z</w:t>
      </w:r>
      <w:r w:rsidR="00457BB5">
        <w:t> </w:t>
      </w:r>
      <w:r w:rsidRPr="0067592C">
        <w:t>funkcjami oprogramowania. </w:t>
      </w:r>
    </w:p>
    <w:p w14:paraId="2BA99C40" w14:textId="2EA10A5A" w:rsidR="00457BB5" w:rsidRDefault="0067592C" w:rsidP="0067592C">
      <w:pPr>
        <w:pStyle w:val="Akapitzlist"/>
        <w:numPr>
          <w:ilvl w:val="0"/>
          <w:numId w:val="9"/>
        </w:numPr>
      </w:pPr>
      <w:r w:rsidRPr="007D208F">
        <w:rPr>
          <w:rStyle w:val="Pogrubienie"/>
          <w:color w:val="215E99" w:themeColor="text2" w:themeTint="BF"/>
        </w:rPr>
        <w:t>W-05. Nakładki</w:t>
      </w:r>
      <w:r w:rsidRPr="0067592C">
        <w:t xml:space="preserve">. </w:t>
      </w:r>
      <w:r w:rsidRPr="00457BB5">
        <w:rPr>
          <w:rStyle w:val="Pogrubienie"/>
        </w:rPr>
        <w:t xml:space="preserve">Dostawca wskaże, czy w dostarczanym rozwiązaniu korzysta lub planuje korzystać z jakichkolwiek produktów dostarczonych przez firmy wymienione w arkuszu </w:t>
      </w:r>
      <w:hyperlink r:id="rId9" w:anchor="main" w:tgtFrame="_blank" w:history="1">
        <w:r w:rsidRPr="00457BB5">
          <w:rPr>
            <w:rStyle w:val="Pogrubienie"/>
            <w:color w:val="215E99" w:themeColor="text2" w:themeTint="BF"/>
          </w:rPr>
          <w:t>Overlay Fact Sheet</w:t>
        </w:r>
      </w:hyperlink>
      <w:r w:rsidRPr="00457BB5">
        <w:rPr>
          <w:rStyle w:val="Pogrubienie"/>
        </w:rPr>
        <w:t xml:space="preserve"> lub innych produktów tego typu</w:t>
      </w:r>
      <w:r w:rsidRPr="0067592C">
        <w:t>.</w:t>
      </w:r>
      <w:r w:rsidR="00457BB5">
        <w:t xml:space="preserve"> </w:t>
      </w:r>
    </w:p>
    <w:p w14:paraId="541D8B56" w14:textId="5075C63E" w:rsidR="0067592C" w:rsidRPr="0067592C" w:rsidRDefault="0067592C" w:rsidP="00457BB5">
      <w:pPr>
        <w:pStyle w:val="Akapitzlist"/>
        <w:ind w:left="360"/>
      </w:pPr>
      <w:r w:rsidRPr="0067592C">
        <w:t>Produkty</w:t>
      </w:r>
      <w:r w:rsidR="00457BB5">
        <w:t xml:space="preserve"> (</w:t>
      </w:r>
      <w:r w:rsidRPr="0067592C">
        <w:t>wtyczki</w:t>
      </w:r>
      <w:r w:rsidR="00457BB5">
        <w:t xml:space="preserve">, </w:t>
      </w:r>
      <w:r w:rsidRPr="0067592C">
        <w:t>dodatki</w:t>
      </w:r>
      <w:r w:rsidR="00457BB5">
        <w:t>)</w:t>
      </w:r>
      <w:r w:rsidRPr="0067592C">
        <w:t xml:space="preserve"> Overlay i Underlay, które oferują naprawę problemów z</w:t>
      </w:r>
      <w:r w:rsidR="00457BB5">
        <w:t> </w:t>
      </w:r>
      <w:r w:rsidRPr="0067592C">
        <w:t>dostępnością, reprezentują fałszywe podejście do zgodności z dostępnością i</w:t>
      </w:r>
      <w:r w:rsidR="00457BB5">
        <w:t> </w:t>
      </w:r>
      <w:r w:rsidRPr="0067592C">
        <w:t xml:space="preserve">mogą stanowić ryzyko prawne </w:t>
      </w:r>
      <w:r w:rsidR="003164D4">
        <w:t>oraz</w:t>
      </w:r>
      <w:r w:rsidRPr="0067592C">
        <w:t xml:space="preserve"> reputacyjne zarówno dla dostawcy, jak i</w:t>
      </w:r>
      <w:r w:rsidR="003164D4">
        <w:t> </w:t>
      </w:r>
      <w:r w:rsidRPr="0067592C">
        <w:t>nabywcy. Ponieważ produkty nakładkowe nie mogą być używane do zapewnienia zgodności z</w:t>
      </w:r>
      <w:r w:rsidR="007D208F">
        <w:t> </w:t>
      </w:r>
      <w:r w:rsidRPr="0067592C">
        <w:t xml:space="preserve">przepisami, ważne jest, aby jasno określić, gdzie i do czego dostawca używa </w:t>
      </w:r>
      <w:r w:rsidR="003164D4">
        <w:t xml:space="preserve">tego typu </w:t>
      </w:r>
      <w:r w:rsidRPr="0067592C">
        <w:t>produktów. </w:t>
      </w:r>
    </w:p>
    <w:p w14:paraId="32F72AEF" w14:textId="77777777" w:rsidR="007D208F" w:rsidRDefault="0067592C" w:rsidP="0067592C">
      <w:pPr>
        <w:pStyle w:val="Akapitzlist"/>
        <w:numPr>
          <w:ilvl w:val="0"/>
          <w:numId w:val="9"/>
        </w:numPr>
      </w:pPr>
      <w:r w:rsidRPr="007D208F">
        <w:rPr>
          <w:rStyle w:val="Pogrubienie"/>
          <w:color w:val="215E99" w:themeColor="text2" w:themeTint="BF"/>
        </w:rPr>
        <w:t>W-06. Deklaracja</w:t>
      </w:r>
      <w:r w:rsidRPr="007D208F">
        <w:rPr>
          <w:rStyle w:val="Pogrubienie"/>
        </w:rPr>
        <w:t>. Dostawca dostarczy oświadczenie o dostępności swojego produktu, które przedstawia stan zgodności z normami dostępności</w:t>
      </w:r>
      <w:r w:rsidR="007D208F" w:rsidRPr="007D208F">
        <w:rPr>
          <w:rStyle w:val="Pogrubienie"/>
        </w:rPr>
        <w:t>, a</w:t>
      </w:r>
      <w:r w:rsidRPr="007D208F">
        <w:rPr>
          <w:rStyle w:val="Pogrubienie"/>
        </w:rPr>
        <w:t xml:space="preserve">lbo </w:t>
      </w:r>
      <w:r w:rsidR="007D208F" w:rsidRPr="007D208F">
        <w:rPr>
          <w:rStyle w:val="Pogrubienie"/>
        </w:rPr>
        <w:t>zobowiąże</w:t>
      </w:r>
      <w:r w:rsidRPr="007D208F">
        <w:rPr>
          <w:rStyle w:val="Pogrubienie"/>
        </w:rPr>
        <w:t xml:space="preserve"> się współpracować z nabywcą w celu opracowania deklaracji dostępności dla proponowanego rozwiązania</w:t>
      </w:r>
      <w:r w:rsidRPr="0067592C">
        <w:t xml:space="preserve">. </w:t>
      </w:r>
    </w:p>
    <w:p w14:paraId="0C77368B" w14:textId="4BB3274A" w:rsidR="0067592C" w:rsidRPr="0067592C" w:rsidRDefault="0067592C" w:rsidP="007D208F">
      <w:pPr>
        <w:pStyle w:val="Akapitzlist"/>
        <w:ind w:left="360"/>
      </w:pPr>
      <w:r w:rsidRPr="0067592C">
        <w:t>Warunkiem wstępnym (W-01) jest posiadanie przez dostawcę wystarczających dowodów testów zgodności z WCAG, na podstawie których można uzyskać szczegółowe informacje wymagane w deklaracji dostępności. </w:t>
      </w:r>
    </w:p>
    <w:p w14:paraId="547423DF" w14:textId="79A02CD4" w:rsidR="0067592C" w:rsidRPr="0067592C" w:rsidRDefault="0067592C" w:rsidP="0067592C">
      <w:pPr>
        <w:pStyle w:val="Akapitzlist"/>
        <w:numPr>
          <w:ilvl w:val="0"/>
          <w:numId w:val="9"/>
        </w:numPr>
      </w:pPr>
      <w:r w:rsidRPr="007D208F">
        <w:rPr>
          <w:rStyle w:val="Pogrubienie"/>
          <w:color w:val="215E99" w:themeColor="text2" w:themeTint="BF"/>
        </w:rPr>
        <w:t>W-07. Wskazówki</w:t>
      </w:r>
      <w:r w:rsidRPr="007D208F">
        <w:rPr>
          <w:rStyle w:val="Pogrubienie"/>
        </w:rPr>
        <w:t xml:space="preserve">. Dostawca zapewni odpowiednie wskazówki użytkownikom technologii wspomagających </w:t>
      </w:r>
      <w:r w:rsidR="007D208F" w:rsidRPr="007D208F">
        <w:rPr>
          <w:rStyle w:val="Pogrubienie"/>
        </w:rPr>
        <w:t>albo</w:t>
      </w:r>
      <w:r w:rsidRPr="007D208F">
        <w:rPr>
          <w:rStyle w:val="Pogrubienie"/>
        </w:rPr>
        <w:t xml:space="preserve"> zobowią</w:t>
      </w:r>
      <w:r w:rsidR="007D208F" w:rsidRPr="007D208F">
        <w:rPr>
          <w:rStyle w:val="Pogrubienie"/>
        </w:rPr>
        <w:t>że</w:t>
      </w:r>
      <w:r w:rsidRPr="007D208F">
        <w:rPr>
          <w:rStyle w:val="Pogrubienie"/>
        </w:rPr>
        <w:t xml:space="preserve"> się współpracować z nabywcą</w:t>
      </w:r>
      <w:r w:rsidR="007D208F" w:rsidRPr="007D208F">
        <w:rPr>
          <w:rStyle w:val="Pogrubienie"/>
        </w:rPr>
        <w:t xml:space="preserve"> w</w:t>
      </w:r>
      <w:r w:rsidR="007D208F">
        <w:rPr>
          <w:rStyle w:val="Pogrubienie"/>
        </w:rPr>
        <w:t> </w:t>
      </w:r>
      <w:r w:rsidR="007D208F" w:rsidRPr="007D208F">
        <w:rPr>
          <w:rStyle w:val="Pogrubienie"/>
        </w:rPr>
        <w:t>celu</w:t>
      </w:r>
      <w:r w:rsidRPr="007D208F">
        <w:rPr>
          <w:rStyle w:val="Pogrubienie"/>
        </w:rPr>
        <w:t xml:space="preserve"> przygotowa</w:t>
      </w:r>
      <w:r w:rsidR="007D208F" w:rsidRPr="007D208F">
        <w:rPr>
          <w:rStyle w:val="Pogrubienie"/>
        </w:rPr>
        <w:t>nia</w:t>
      </w:r>
      <w:r w:rsidRPr="007D208F">
        <w:rPr>
          <w:rStyle w:val="Pogrubienie"/>
        </w:rPr>
        <w:t xml:space="preserve"> taki</w:t>
      </w:r>
      <w:r w:rsidR="007D208F" w:rsidRPr="007D208F">
        <w:rPr>
          <w:rStyle w:val="Pogrubienie"/>
        </w:rPr>
        <w:t>ch</w:t>
      </w:r>
      <w:r w:rsidRPr="007D208F">
        <w:rPr>
          <w:rStyle w:val="Pogrubienie"/>
        </w:rPr>
        <w:t xml:space="preserve"> </w:t>
      </w:r>
      <w:r w:rsidR="007D208F">
        <w:rPr>
          <w:rStyle w:val="Pogrubienie"/>
        </w:rPr>
        <w:t xml:space="preserve">wystarczająco dokładnych </w:t>
      </w:r>
      <w:r w:rsidRPr="007D208F">
        <w:rPr>
          <w:rStyle w:val="Pogrubienie"/>
        </w:rPr>
        <w:t>wskazów</w:t>
      </w:r>
      <w:r w:rsidR="007D208F" w:rsidRPr="007D208F">
        <w:rPr>
          <w:rStyle w:val="Pogrubienie"/>
        </w:rPr>
        <w:t>ek</w:t>
      </w:r>
      <w:r w:rsidRPr="0067592C">
        <w:t>. </w:t>
      </w:r>
    </w:p>
    <w:p w14:paraId="310967C9" w14:textId="77777777" w:rsidR="007D208F" w:rsidRPr="007D208F" w:rsidRDefault="0067592C" w:rsidP="0067592C">
      <w:pPr>
        <w:pStyle w:val="Akapitzlist"/>
        <w:numPr>
          <w:ilvl w:val="0"/>
          <w:numId w:val="9"/>
        </w:numPr>
        <w:rPr>
          <w:rStyle w:val="Pogrubienie"/>
        </w:rPr>
      </w:pPr>
      <w:r w:rsidRPr="007D208F">
        <w:rPr>
          <w:rStyle w:val="Pogrubienie"/>
          <w:color w:val="215E99" w:themeColor="text2" w:themeTint="BF"/>
        </w:rPr>
        <w:t>W-08. Dokumenty</w:t>
      </w:r>
      <w:r w:rsidRPr="007D208F">
        <w:rPr>
          <w:rStyle w:val="Pogrubienie"/>
        </w:rPr>
        <w:t xml:space="preserve">. Dostawca opisze, w jaki sposób zapewni, że wszelkie generowane przez system treści nieinternetowe będą spełniać wymogi dostępności. </w:t>
      </w:r>
    </w:p>
    <w:p w14:paraId="2E473AFD" w14:textId="430A8ECA" w:rsidR="007D208F" w:rsidRDefault="0067592C" w:rsidP="007D208F">
      <w:pPr>
        <w:pStyle w:val="Akapitzlist"/>
        <w:ind w:left="360"/>
      </w:pPr>
      <w:r w:rsidRPr="0067592C">
        <w:t>Dotyczy to wszelkich innych treści</w:t>
      </w:r>
      <w:r w:rsidR="003164D4" w:rsidRPr="003164D4">
        <w:t xml:space="preserve"> </w:t>
      </w:r>
      <w:r w:rsidR="003164D4" w:rsidRPr="0067592C">
        <w:t>niż internetowe</w:t>
      </w:r>
      <w:r w:rsidRPr="0067592C">
        <w:t>, które generuje system</w:t>
      </w:r>
      <w:r w:rsidR="007D208F">
        <w:t>,</w:t>
      </w:r>
      <w:r w:rsidRPr="0067592C">
        <w:t xml:space="preserve"> lub związanych z promocją, użytkowaniem albo zarządzaniem systemem, w tym wszystkich komunikatów, wiadomości e-mail, formatów wygenerowanych dokumentów, plików PDF, potwierdzeń działań użytkownika, dodatkowej korespondencji, próśb o dalsze informacje i użycia wtyczek innych firm. </w:t>
      </w:r>
    </w:p>
    <w:p w14:paraId="069116C1" w14:textId="68B1E693" w:rsidR="0067592C" w:rsidRPr="0067592C" w:rsidRDefault="0067592C" w:rsidP="007D208F">
      <w:pPr>
        <w:pStyle w:val="Akapitzlist"/>
        <w:ind w:left="360"/>
      </w:pPr>
      <w:r w:rsidRPr="0067592C">
        <w:t xml:space="preserve">Zgodność zostanie oceniona na podstawie ujętych w </w:t>
      </w:r>
      <w:hyperlink r:id="rId10" w:tgtFrame="_blank" w:history="1">
        <w:r w:rsidR="007D208F">
          <w:rPr>
            <w:rStyle w:val="Hipercze"/>
          </w:rPr>
          <w:t>PL ETSI EN 301 549</w:t>
        </w:r>
      </w:hyperlink>
      <w:r w:rsidRPr="0067592C">
        <w:t xml:space="preserve"> kryteriów sukcesu WCAG odnoszących się do dokumentów nieinternetowych i znanych najlepszych praktyk projektowania dla dostępności. </w:t>
      </w:r>
    </w:p>
    <w:p w14:paraId="2857E1FD" w14:textId="589122C4" w:rsidR="00E23932" w:rsidRDefault="003164D4">
      <w:r>
        <w:t>Wersja 1.0, 20 września 2025</w:t>
      </w:r>
      <w:r w:rsidR="0012670E">
        <w:t xml:space="preserve"> </w:t>
      </w:r>
      <w:r w:rsidR="00BD532C">
        <w:t xml:space="preserve"> </w:t>
      </w:r>
    </w:p>
    <w:sectPr w:rsidR="00E23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EE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01F6F"/>
    <w:multiLevelType w:val="multilevel"/>
    <w:tmpl w:val="58FE77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91A2D"/>
    <w:multiLevelType w:val="multilevel"/>
    <w:tmpl w:val="F2006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37B60"/>
    <w:multiLevelType w:val="multilevel"/>
    <w:tmpl w:val="C0A06B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217A8"/>
    <w:multiLevelType w:val="multilevel"/>
    <w:tmpl w:val="75F2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A689A"/>
    <w:multiLevelType w:val="multilevel"/>
    <w:tmpl w:val="3C6C7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E16CC"/>
    <w:multiLevelType w:val="multilevel"/>
    <w:tmpl w:val="945C17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A2B42"/>
    <w:multiLevelType w:val="multilevel"/>
    <w:tmpl w:val="9F7CD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Palatino Linotype" w:hAnsi="Palatino Linotype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F6844F9"/>
    <w:multiLevelType w:val="multilevel"/>
    <w:tmpl w:val="8AF69B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206213"/>
    <w:multiLevelType w:val="multilevel"/>
    <w:tmpl w:val="68FAB0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892192">
    <w:abstractNumId w:val="3"/>
  </w:num>
  <w:num w:numId="2" w16cid:durableId="82067894">
    <w:abstractNumId w:val="4"/>
  </w:num>
  <w:num w:numId="3" w16cid:durableId="294410836">
    <w:abstractNumId w:val="1"/>
  </w:num>
  <w:num w:numId="4" w16cid:durableId="2139759483">
    <w:abstractNumId w:val="0"/>
  </w:num>
  <w:num w:numId="5" w16cid:durableId="2082173405">
    <w:abstractNumId w:val="7"/>
  </w:num>
  <w:num w:numId="6" w16cid:durableId="996954802">
    <w:abstractNumId w:val="8"/>
  </w:num>
  <w:num w:numId="7" w16cid:durableId="1252395507">
    <w:abstractNumId w:val="2"/>
  </w:num>
  <w:num w:numId="8" w16cid:durableId="554313028">
    <w:abstractNumId w:val="5"/>
  </w:num>
  <w:num w:numId="9" w16cid:durableId="1781414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2C"/>
    <w:rsid w:val="0012670E"/>
    <w:rsid w:val="001E6CCD"/>
    <w:rsid w:val="00282081"/>
    <w:rsid w:val="002849BA"/>
    <w:rsid w:val="002B54C6"/>
    <w:rsid w:val="003164D4"/>
    <w:rsid w:val="00406442"/>
    <w:rsid w:val="00441926"/>
    <w:rsid w:val="00457BB5"/>
    <w:rsid w:val="0067592C"/>
    <w:rsid w:val="007B172C"/>
    <w:rsid w:val="007D208F"/>
    <w:rsid w:val="009119B5"/>
    <w:rsid w:val="00AE3725"/>
    <w:rsid w:val="00BD1FE9"/>
    <w:rsid w:val="00BD532C"/>
    <w:rsid w:val="00C65930"/>
    <w:rsid w:val="00C71062"/>
    <w:rsid w:val="00E2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ACB7"/>
  <w15:chartTrackingRefBased/>
  <w15:docId w15:val="{A79D1723-FDC7-4E44-8AA1-B1469524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5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5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5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59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59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59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59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59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59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06442"/>
    <w:pPr>
      <w:spacing w:after="320" w:line="216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6442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59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59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59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59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592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7592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7592C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67592C"/>
    <w:rPr>
      <w:b/>
      <w:bCs/>
    </w:rPr>
  </w:style>
  <w:style w:type="table" w:styleId="Tabela-Siatka">
    <w:name w:val="Table Grid"/>
    <w:basedOn w:val="Standardowy"/>
    <w:uiPriority w:val="39"/>
    <w:rsid w:val="00284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ATAG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tsi.org/deliver/etsi_en/301500_301599/301549/01.01.02_60/en_301549v010102p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tsi.org/deliver/etsi_en/301500_301599/301549/01.01.02_60/en_301549v010102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verlayfactsheet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741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wymagań dostępności w zakupach rozwiązań zawierających technologie i treści cyfrowe</vt:lpstr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wymagań dostępności w zakupach rozwiązań zawierających technologie i treści cyfrowe</dc:title>
  <dc:subject/>
  <dc:creator>Stefan Wajda</dc:creator>
  <cp:keywords/>
  <dc:description/>
  <cp:lastModifiedBy>Stefan Wajda</cp:lastModifiedBy>
  <cp:revision>3</cp:revision>
  <dcterms:created xsi:type="dcterms:W3CDTF">2025-09-20T10:58:00Z</dcterms:created>
  <dcterms:modified xsi:type="dcterms:W3CDTF">2025-09-23T10:45:00Z</dcterms:modified>
</cp:coreProperties>
</file>