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eastAsia="微软雅黑"/>
          <w:b/>
          <w:i w:val="0"/>
          <w:color w:val="003366"/>
          <w:sz w:val="56"/>
        </w:rPr>
        <w:t>ADVISORY</w:t>
      </w:r>
    </w:p>
    <w:p>
      <w:pPr>
        <w:jc w:val="center"/>
      </w:pPr>
      <w:r>
        <w:rPr>
          <w:rFonts w:ascii="Arial" w:hAnsi="Arial" w:eastAsia="微软雅黑"/>
          <w:b/>
          <w:i w:val="0"/>
          <w:color w:val="808080"/>
          <w:sz w:val="28"/>
        </w:rPr>
        <w:t>ACCOUNTING &amp; TAX</w:t>
      </w:r>
    </w:p>
    <w:p>
      <w:pPr>
        <w:jc w:val="center"/>
      </w:pPr>
      <w:r>
        <w:rPr>
          <w:rFonts w:ascii="Arial" w:hAnsi="Arial" w:eastAsia="微软雅黑"/>
          <w:b/>
          <w:i w:val="0"/>
          <w:color w:val="808080"/>
          <w:sz w:val="28"/>
        </w:rPr>
        <w:t>AUDIT</w:t>
      </w:r>
    </w:p>
    <w:p/>
    <w:p>
      <w:pPr>
        <w:jc w:val="center"/>
      </w:pPr>
      <w:r>
        <w:rPr>
          <w:rFonts w:ascii="Arial" w:hAnsi="Arial" w:eastAsia="微软雅黑"/>
          <w:b w:val="0"/>
          <w:i w:val="0"/>
          <w:color w:val="003366"/>
          <w:sz w:val="24"/>
        </w:rPr>
        <w:t>赋能亚洲全球业务</w:t>
      </w:r>
    </w:p>
    <w:p>
      <w:pPr>
        <w:jc w:val="center"/>
      </w:pPr>
      <w:r>
        <w:rPr>
          <w:rFonts w:ascii="Arial" w:hAnsi="Arial" w:eastAsia="微软雅黑"/>
          <w:b w:val="0"/>
          <w:i w:val="0"/>
          <w:color w:val="808080"/>
          <w:sz w:val="20"/>
        </w:rPr>
        <w:t>EMPOWERING GLOBAL BUSINESS IN ASIA.</w:t>
      </w:r>
    </w:p>
    <w:p/>
    <w:p/>
    <w:p/>
    <w:p/>
    <w:p>
      <w:pPr>
        <w:jc w:val="center"/>
      </w:pPr>
      <w:r>
        <w:rPr>
          <w:rFonts w:ascii="Arial" w:hAnsi="Arial" w:eastAsia="微软雅黑"/>
          <w:b/>
          <w:i w:val="0"/>
          <w:sz w:val="44"/>
        </w:rPr>
        <w:t>资产转让咨询报告</w:t>
      </w:r>
    </w:p>
    <w:p>
      <w:pPr>
        <w:jc w:val="center"/>
      </w:pPr>
      <w:r>
        <w:rPr>
          <w:rFonts w:ascii="Arial" w:hAnsi="Arial" w:eastAsia="微软雅黑"/>
          <w:b w:val="0"/>
          <w:i w:val="0"/>
          <w:color w:val="808080"/>
          <w:sz w:val="24"/>
        </w:rPr>
        <w:t>Asset Transfer Advisory Report</w:t>
      </w:r>
    </w:p>
    <w:p/>
    <w:p>
      <w:pPr>
        <w:jc w:val="center"/>
      </w:pPr>
      <w:r>
        <w:rPr>
          <w:rFonts w:ascii="Arial" w:hAnsi="Arial" w:eastAsia="微软雅黑"/>
          <w:b w:val="0"/>
          <w:i w:val="0"/>
          <w:sz w:val="24"/>
        </w:rPr>
        <w:t>由 MSA 中国 编制</w:t>
      </w:r>
    </w:p>
    <w:p>
      <w:pPr>
        <w:jc w:val="center"/>
      </w:pPr>
      <w:r>
        <w:rPr>
          <w:rFonts w:ascii="Arial" w:hAnsi="Arial" w:eastAsia="微软雅黑"/>
          <w:b w:val="0"/>
          <w:i w:val="0"/>
          <w:sz w:val="24"/>
        </w:rPr>
        <w:t>为 aft Automotive 提供</w:t>
      </w:r>
    </w:p>
    <w:p/>
    <w:p>
      <w:pPr>
        <w:jc w:val="center"/>
      </w:pPr>
      <w:r>
        <w:rPr>
          <w:rFonts w:ascii="Arial" w:hAnsi="Arial" w:eastAsia="微软雅黑"/>
          <w:b w:val="0"/>
          <w:i w:val="0"/>
          <w:sz w:val="24"/>
        </w:rPr>
        <w:t>2026年5月14日</w:t>
      </w:r>
    </w:p>
    <w:p>
      <w:r>
        <w:br w:type="page"/>
      </w:r>
    </w:p>
    <w:p>
      <w:pPr>
        <w:pStyle w:val="Heading1"/>
      </w:pPr>
      <w:r>
        <w:rPr>
          <w:rFonts w:ascii="Arial" w:hAnsi="Arial" w:eastAsia="微软雅黑"/>
          <w:color w:val="003366"/>
        </w:rPr>
        <w:t>目录</w:t>
      </w:r>
    </w:p>
    <w:p>
      <w:r>
        <w:rPr>
          <w:rFonts w:ascii="Arial" w:hAnsi="Arial" w:eastAsia="微软雅黑"/>
          <w:sz w:val="22"/>
        </w:rPr>
        <w:t>1.  执行摘要</w:t>
      </w:r>
    </w:p>
    <w:p>
      <w:r>
        <w:rPr>
          <w:rFonts w:ascii="Arial" w:hAnsi="Arial" w:eastAsia="微软雅黑"/>
          <w:sz w:val="22"/>
        </w:rPr>
        <w:t>2.  背景与计划重组</w:t>
      </w:r>
    </w:p>
    <w:p>
      <w:r>
        <w:rPr>
          <w:rFonts w:ascii="Arial" w:hAnsi="Arial" w:eastAsia="微软雅黑"/>
          <w:sz w:val="22"/>
        </w:rPr>
        <w:t>3.  报告范围</w:t>
      </w:r>
    </w:p>
    <w:p>
      <w:r>
        <w:rPr>
          <w:rFonts w:ascii="Arial" w:hAnsi="Arial" w:eastAsia="微软雅黑"/>
          <w:sz w:val="22"/>
        </w:rPr>
        <w:t>4.  资产转让——税务分析</w:t>
      </w:r>
    </w:p>
    <w:p>
      <w:r>
        <w:rPr>
          <w:rFonts w:ascii="Arial" w:hAnsi="Arial" w:eastAsia="微软雅黑"/>
          <w:sz w:val="22"/>
        </w:rPr>
        <w:t>5.  股权转让——税务分析</w:t>
      </w:r>
    </w:p>
    <w:p>
      <w:r>
        <w:rPr>
          <w:rFonts w:ascii="Arial" w:hAnsi="Arial" w:eastAsia="微软雅黑"/>
          <w:sz w:val="22"/>
        </w:rPr>
        <w:t>6.  重组后税务状况</w:t>
      </w:r>
    </w:p>
    <w:p>
      <w:r>
        <w:rPr>
          <w:rFonts w:ascii="Arial" w:hAnsi="Arial" w:eastAsia="微软雅黑"/>
          <w:sz w:val="22"/>
        </w:rPr>
        <w:t>7.  申报、审批与顺序安排</w:t>
      </w:r>
    </w:p>
    <w:p>
      <w:r>
        <w:rPr>
          <w:rFonts w:ascii="Arial" w:hAnsi="Arial" w:eastAsia="微软雅黑"/>
          <w:sz w:val="22"/>
        </w:rPr>
        <w:t>8.  总结意见</w:t>
      </w:r>
    </w:p>
    <w:p>
      <w:r>
        <w:rPr>
          <w:rFonts w:ascii="Arial" w:hAnsi="Arial" w:eastAsia="微软雅黑"/>
          <w:sz w:val="22"/>
        </w:rPr>
        <w:t>附录A.  应税事件矩阵</w:t>
      </w:r>
    </w:p>
    <w:p>
      <w:r>
        <w:rPr>
          <w:rFonts w:ascii="Arial" w:hAnsi="Arial" w:eastAsia="微软雅黑"/>
          <w:sz w:val="22"/>
        </w:rPr>
        <w:t>附录B.  资料来源与定义术语</w:t>
      </w:r>
    </w:p>
    <w:p>
      <w:r>
        <w:br w:type="page"/>
      </w:r>
    </w:p>
    <w:p>
      <w:pPr>
        <w:pStyle w:val="Heading1"/>
      </w:pPr>
      <w:r>
        <w:rPr>
          <w:rFonts w:ascii="Arial" w:hAnsi="Arial" w:eastAsia="微软雅黑"/>
          <w:color w:val="003366"/>
        </w:rPr>
        <w:t>1. 执行摘要</w:t>
      </w:r>
    </w:p>
    <w:p>
      <w:r>
        <w:rPr>
          <w:rFonts w:ascii="Arial" w:hAnsi="Arial" w:eastAsia="微软雅黑"/>
          <w:b w:val="0"/>
          <w:i w:val="0"/>
          <w:sz w:val="20"/>
        </w:rPr>
        <w:t>本报告分析了 aft 汽车零部件（苏州）有限公司（"aft苏州"）与 aft 汽车系统（苏州）有限公司（"aft新公司"）计划重组的中华人民共和国（"中国"）税务影响。两项交易并行执行：运营中的汽车零部件业务从 aft苏州 转让至 aft新公司，同时 aft automotive GmbH（"aft GmbH"）将其持有的 aft苏州 16% 股权出售给其合资伙伴常熟科泰贸易有限公司（"科泰"）。上述两步完成后，aft苏州（aft GmbH 35% / 科泰 65%）保留厂房并将其出租给 aft新公司（aft GmbH 65% / 科泰 35%）。</w:t>
      </w:r>
    </w:p>
    <w:p>
      <w:pPr>
        <w:pStyle w:val="Heading2"/>
      </w:pPr>
      <w:r>
        <w:rPr>
          <w:rFonts w:ascii="Arial" w:hAnsi="Arial" w:eastAsia="微软雅黑"/>
          <w:color w:val="003366"/>
        </w:rPr>
        <w:t>主要税务立场</w:t>
      </w:r>
    </w:p>
    <w:p>
      <w:r>
        <w:rPr>
          <w:rFonts w:ascii="Arial" w:hAnsi="Arial" w:eastAsia="微软雅黑"/>
          <w:b w:val="0"/>
          <w:i w:val="0"/>
          <w:sz w:val="20"/>
        </w:rPr>
        <w:t>• 资产转让。根据中国企业所得税（"CIT"）原则，资产转让按公允价值进行应税处置。从模拟资产负债表的账面来看，指示性企业所得税收益接近于零，且由于 aft苏州 拥有大量累计税务亏损，实际企业所得税影响进一步受限。但仍存在剩余的公允价值评估风险，最好通过支持对价的独立评估来解决。</w:t>
      </w:r>
    </w:p>
    <w:p>
      <w:r>
        <w:rPr>
          <w:rFonts w:ascii="Arial" w:hAnsi="Arial" w:eastAsia="微软雅黑"/>
          <w:b w:val="0"/>
          <w:i w:val="0"/>
          <w:sz w:val="20"/>
        </w:rPr>
        <w:t>• 增值税（"VAT"）。如果转让按照国税总局[2011]第13号公告——即将资产、相关债权、债务及劳动力作为一个整体资产包转让——进行适当的结构安排和文件记录，则不属于增值税征税范围。这是间接税方面最重要的结构性要点；实现这一目标需要正确的合同形式和充分的证明文件。</w:t>
      </w:r>
    </w:p>
    <w:p>
      <w:r>
        <w:rPr>
          <w:rFonts w:ascii="Arial" w:hAnsi="Arial" w:eastAsia="微软雅黑"/>
          <w:b w:val="0"/>
          <w:i w:val="0"/>
          <w:sz w:val="20"/>
        </w:rPr>
        <w:t>• 不动产税。不涉及土地使用权或建筑物的转让，因此不触发契税和土地增值税。</w:t>
      </w:r>
    </w:p>
    <w:p>
      <w:r>
        <w:rPr>
          <w:rFonts w:ascii="Arial" w:hAnsi="Arial" w:eastAsia="微软雅黑"/>
          <w:b w:val="0"/>
          <w:i w:val="0"/>
          <w:sz w:val="20"/>
        </w:rPr>
        <w:t>• 应收款核销。aft GmbH 计划对其应收 aft苏州 的 12,115,291 元人民币应收款进行核销，可以将其结构化为资本投入并在税务上如此确认，前提是在 16% 股权转让之前（即 aft GmbH 仍为控股股东期间）完成文件记录。如果在股权转让之后记录，则将被视为 aft苏州 的应税债务重组收益。顺序安排是一个重要的筹划要点。</w:t>
      </w:r>
    </w:p>
    <w:p>
      <w:r>
        <w:rPr>
          <w:rFonts w:ascii="Arial" w:hAnsi="Arial" w:eastAsia="微软雅黑"/>
          <w:b w:val="0"/>
          <w:i w:val="0"/>
          <w:sz w:val="20"/>
        </w:rPr>
        <w:t>• 股权转让。1,600,000 元人民币的对价与 aft GmbH 按比例计算的历史成本基础相匹配，因此从表面看不会产生资本利得。然而，税务机关有权在申报对价不符合独立交易原则时按公允价值进行评估。这是股权转让的主要风险。中德双重征税协定不提供减免，因为 aft GmbH 在转让前持股超过 25%。</w:t>
      </w:r>
    </w:p>
    <w:p>
      <w:r>
        <w:rPr>
          <w:rFonts w:ascii="Arial" w:hAnsi="Arial" w:eastAsia="微软雅黑"/>
          <w:b w:val="0"/>
          <w:i w:val="0"/>
          <w:sz w:val="20"/>
        </w:rPr>
        <w:t>• 特殊税务重组减免不适用，主要原因是转让后 aft新公司 的股权比例（65/35）与重组前 aft苏州 的股权比例（51/49）不一致——这是分立型重组的门槛条件。因此，累计亏损不能从 aft苏州 转移至 aft新公司。</w:t>
      </w:r>
    </w:p>
    <w:p>
      <w:r>
        <w:rPr>
          <w:rFonts w:ascii="Arial" w:hAnsi="Arial" w:eastAsia="微软雅黑"/>
          <w:b w:val="0"/>
          <w:i w:val="0"/>
          <w:sz w:val="20"/>
        </w:rPr>
        <w:t>• 持续租赁（aft苏州 → aft新公司）。重组后，aft苏州 与 aft新公司 在镜像持股结构下构成关联方。租赁租金具有直接的利润分配影响，将成为持续的转让定价关注重点。</w:t>
      </w:r>
    </w:p>
    <w:p>
      <w:pPr>
        <w:pStyle w:val="Heading2"/>
      </w:pPr>
      <w:r>
        <w:rPr>
          <w:rFonts w:ascii="Arial" w:hAnsi="Arial" w:eastAsia="微软雅黑"/>
          <w:color w:val="003366"/>
        </w:rPr>
        <w:t>所需行动</w:t>
      </w:r>
    </w:p>
    <w:p>
      <w:pPr>
        <w:pStyle w:val="ListBullet"/>
      </w:pPr>
      <w:r>
        <w:rPr>
          <w:rFonts w:ascii="Arial" w:hAnsi="Arial" w:eastAsia="微软雅黑"/>
          <w:sz w:val="20"/>
        </w:rPr>
        <w:t>获取以下两项的独立评估：(a) 汽车零部件业务，及 (b) aft苏州 16% 股权，均以计划转让基准日为准。</w:t>
      </w:r>
    </w:p>
    <w:p>
      <w:pPr>
        <w:pStyle w:val="ListBullet"/>
      </w:pPr>
      <w:r>
        <w:rPr>
          <w:rFonts w:ascii="Arial" w:hAnsi="Arial" w:eastAsia="微软雅黑"/>
          <w:sz w:val="20"/>
        </w:rPr>
        <w:t>将资产转让进行结构安排和文件记录，使其构成符合条件的资产重组，以保障增值税立场。</w:t>
      </w:r>
    </w:p>
    <w:p>
      <w:pPr>
        <w:pStyle w:val="ListBullet"/>
      </w:pPr>
      <w:r>
        <w:rPr>
          <w:rFonts w:ascii="Arial" w:hAnsi="Arial" w:eastAsia="微软雅黑"/>
          <w:sz w:val="20"/>
        </w:rPr>
        <w:t>如选择此方案，将应收款核销记录为 aft GmbH 的资本投入，并在 16% 股权转让之前执行，以保留 aft苏州 的税务亏损供未来使用。</w:t>
      </w:r>
    </w:p>
    <w:p>
      <w:pPr>
        <w:pStyle w:val="ListBullet"/>
      </w:pPr>
      <w:r>
        <w:rPr>
          <w:rFonts w:ascii="Arial" w:hAnsi="Arial" w:eastAsia="微软雅黑"/>
          <w:sz w:val="20"/>
        </w:rPr>
        <w:t>在向税务或海关当局提交任何材料之前，协调《补充协议》第 1.8 条（设备由 aft GmbH 拥有）与 aft苏州 账簿（设备登记在 aft苏州 固定资产台账中）之间的不一致。</w:t>
      </w:r>
    </w:p>
    <w:p>
      <w:pPr>
        <w:pStyle w:val="ListBullet"/>
      </w:pPr>
      <w:r>
        <w:rPr>
          <w:rFonts w:ascii="Arial" w:hAnsi="Arial" w:eastAsia="微软雅黑"/>
          <w:sz w:val="20"/>
        </w:rPr>
        <w:t>核实进口制造设备的海关监管状态。</w:t>
      </w:r>
    </w:p>
    <w:p>
      <w:pPr>
        <w:pStyle w:val="ListBullet"/>
      </w:pPr>
      <w:r>
        <w:rPr>
          <w:rFonts w:ascii="Arial" w:hAnsi="Arial" w:eastAsia="微软雅黑"/>
          <w:sz w:val="20"/>
        </w:rPr>
        <w:t>取得 aft GmbH 的德国税务居民身份证明。</w:t>
      </w:r>
    </w:p>
    <w:p>
      <w:pPr>
        <w:pStyle w:val="ListBullet"/>
      </w:pPr>
      <w:r>
        <w:rPr>
          <w:rFonts w:ascii="Arial" w:hAnsi="Arial" w:eastAsia="微软雅黑"/>
          <w:sz w:val="20"/>
        </w:rPr>
        <w:t>安排资产转让在实质上先于股权转让完成，并以文件记录将两项事件分开。</w:t>
      </w:r>
    </w:p>
    <w:p>
      <w:pPr>
        <w:pStyle w:val="Heading2"/>
      </w:pPr>
      <w:r>
        <w:rPr>
          <w:rFonts w:ascii="Arial" w:hAnsi="Arial" w:eastAsia="微软雅黑"/>
          <w:color w:val="003366"/>
        </w:rPr>
        <w:t>总体意见</w:t>
      </w:r>
    </w:p>
    <w:p>
      <w:r>
        <w:rPr>
          <w:rFonts w:ascii="Arial" w:hAnsi="Arial" w:eastAsia="微软雅黑"/>
          <w:b w:val="0"/>
          <w:i w:val="0"/>
          <w:sz w:val="20"/>
        </w:rPr>
        <w:t>从中国税务角度看，该结构是可行的。总体税务结果主要取决于三个判断：业务和 16% 股权的估值、资产重组的增值税定性，以及应收款核销相对于股权转让的时间安排（这决定了其被视为资本投入还是应税收入）。</w:t>
      </w:r>
    </w:p>
    <w:p>
      <w:r>
        <w:br w:type="page"/>
      </w:r>
    </w:p>
    <w:p>
      <w:pPr>
        <w:pStyle w:val="Heading1"/>
      </w:pPr>
      <w:r>
        <w:rPr>
          <w:rFonts w:ascii="Arial" w:hAnsi="Arial" w:eastAsia="微软雅黑"/>
          <w:color w:val="003366"/>
        </w:rPr>
        <w:t>2. 背景与计划重组</w:t>
      </w:r>
    </w:p>
    <w:p>
      <w:r>
        <w:rPr>
          <w:rFonts w:ascii="Arial" w:hAnsi="Arial" w:eastAsia="微软雅黑"/>
          <w:b w:val="0"/>
          <w:i w:val="0"/>
          <w:sz w:val="20"/>
        </w:rPr>
        <w:t>aft automotive GmbH（"aft GmbH"），总部位于德国格雷文，是一家汽车一级供应商，主要生产管路系统和功能性零部件。在中国境内，aft GmbH 通过与同一本地合作伙伴常熟科泰贸易有限公司（"科泰"）设立的两家合资企业开展业务。其中第一家合资企业——aft 汽车零部件（苏州）有限公司（"aft苏州"）——即为本次重组的标的；另一家相关合资企业与之并存。</w:t>
      </w:r>
    </w:p>
    <w:p>
      <w:pPr>
        <w:pStyle w:val="Heading2"/>
      </w:pPr>
      <w:r>
        <w:rPr>
          <w:rFonts w:ascii="Arial" w:hAnsi="Arial" w:eastAsia="微软雅黑"/>
          <w:color w:val="003366"/>
        </w:rPr>
        <w:t>当前状态</w:t>
      </w:r>
    </w:p>
    <w:p>
      <w:r>
        <w:rPr>
          <w:rFonts w:ascii="Arial" w:hAnsi="Arial" w:eastAsia="微软雅黑"/>
          <w:b w:val="0"/>
          <w:i w:val="0"/>
          <w:sz w:val="20"/>
        </w:rPr>
        <w:t>aft苏州 是一家在江苏省苏州市注册的中外合资企业。重组前的股权结构为 aft GmbH 51% / 科泰 49%。aft苏州 拥有制造厂房（目前在建中）并在该场地经营汽车零部件业务。厂房由银行贷款融资。aft苏州 存在以前年度的累计税务亏损。</w:t>
      </w:r>
    </w:p>
    <w:p>
      <w:pPr>
        <w:pStyle w:val="Heading2"/>
      </w:pPr>
      <w:r>
        <w:rPr>
          <w:rFonts w:ascii="Arial" w:hAnsi="Arial" w:eastAsia="微软雅黑"/>
          <w:color w:val="003366"/>
        </w:rPr>
        <w:t>两项交易</w:t>
      </w:r>
    </w:p>
    <w:p>
      <w:r>
        <w:rPr>
          <w:rFonts w:ascii="Arial" w:hAnsi="Arial" w:eastAsia="微软雅黑"/>
          <w:b w:val="0"/>
          <w:i w:val="0"/>
          <w:sz w:val="20"/>
        </w:rPr>
        <w:t>重组包括两项并行执行的交易：</w:t>
      </w:r>
    </w:p>
    <w:p>
      <w:r>
        <w:rPr>
          <w:rFonts w:ascii="Arial" w:hAnsi="Arial" w:eastAsia="微软雅黑"/>
          <w:b w:val="0"/>
          <w:i w:val="0"/>
          <w:sz w:val="20"/>
        </w:rPr>
        <w:t>交易1——资产转让。已新设 aft 新公司，股权结构为 aft GmbH 65% / 科泰 35%，实缴注册资本为 10,000,000 元人民币。aft苏州 将向 aft新公司 转让以下资产：</w:t>
      </w:r>
    </w:p>
    <w:p>
      <w:pPr>
        <w:pStyle w:val="ListBullet"/>
      </w:pPr>
      <w:r>
        <w:rPr>
          <w:rFonts w:ascii="Arial" w:hAnsi="Arial" w:eastAsia="微软雅黑"/>
          <w:sz w:val="20"/>
        </w:rPr>
        <w:t>完整的汽车零部件业务：制造业务、客户合同、员工、设备、存货、与业务相关的无形资产、相关应收款和应付款；以及</w:t>
      </w:r>
    </w:p>
    <w:p>
      <w:pPr>
        <w:pStyle w:val="ListBullet"/>
      </w:pPr>
      <w:r>
        <w:rPr>
          <w:rFonts w:ascii="Arial" w:hAnsi="Arial" w:eastAsia="微软雅黑"/>
          <w:sz w:val="20"/>
        </w:rPr>
        <w:t>汽车相关的在建工程和无形资产。</w:t>
      </w:r>
    </w:p>
    <w:p>
      <w:r>
        <w:rPr>
          <w:rFonts w:ascii="Arial" w:hAnsi="Arial" w:eastAsia="微软雅黑"/>
          <w:b w:val="0"/>
          <w:i w:val="0"/>
          <w:sz w:val="20"/>
        </w:rPr>
        <w:t>aft苏州 保留厂房、相关在建工程、相关无形资产、建设贷款以及相关建设应付款。与此同时，aft GmbH 核销其应收 aft苏州 的 12,115,291 元人民币应收款，以平衡 aft苏州 在转让后的财务状况。</w:t>
      </w:r>
    </w:p>
    <w:p>
      <w:r>
        <w:rPr>
          <w:rFonts w:ascii="Arial" w:hAnsi="Arial" w:eastAsia="微软雅黑"/>
          <w:b w:val="0"/>
          <w:i w:val="0"/>
          <w:sz w:val="20"/>
        </w:rPr>
        <w:t>交易2——股权转让。在资产转让完成后，aft GmbH 将 aft苏州 16% 的股权以 1,600,000 元人民币的价格转让给科泰（《补充协议》第 1.3 条）。转让后 aft苏州 股权结构：aft GmbH 35% / 科泰 65%。</w:t>
      </w:r>
    </w:p>
    <w:p>
      <w:pPr>
        <w:pStyle w:val="Heading2"/>
      </w:pPr>
      <w:r>
        <w:rPr>
          <w:rFonts w:ascii="Arial" w:hAnsi="Arial" w:eastAsia="微软雅黑"/>
          <w:color w:val="003366"/>
        </w:rPr>
        <w:t>重组后格局</w:t>
      </w:r>
    </w:p>
    <w:p>
      <w:pPr>
        <w:pStyle w:val="ListBullet"/>
      </w:pPr>
      <w:r>
        <w:rPr>
          <w:rFonts w:ascii="Arial" w:hAnsi="Arial" w:eastAsia="微软雅黑"/>
          <w:sz w:val="20"/>
        </w:rPr>
        <w:t>aft苏州 持有厂房，由 aft GmbH 35% / 科泰 65% 持有。其将约 8,000 平方米的厂房以"公允市场价格"（《补充协议》第 1.5 条）出租给 aft新公司。</w:t>
      </w:r>
    </w:p>
    <w:p>
      <w:pPr>
        <w:pStyle w:val="ListBullet"/>
      </w:pPr>
      <w:r>
        <w:rPr>
          <w:rFonts w:ascii="Arial" w:hAnsi="Arial" w:eastAsia="微软雅黑"/>
          <w:sz w:val="20"/>
        </w:rPr>
        <w:t>aft新公司 经营汽车零部件业务，由 aft GmbH 65% / 科泰 35% 持有。</w:t>
      </w:r>
    </w:p>
    <w:p>
      <w:r>
        <w:rPr>
          <w:rFonts w:ascii="Arial" w:hAnsi="Arial" w:eastAsia="微软雅黑"/>
          <w:b w:val="0"/>
          <w:i w:val="0"/>
          <w:sz w:val="20"/>
        </w:rPr>
        <w:t>镜像持股结构反映了重组的底层商业逻辑：aft苏州 的厂房和土地代表中方合作伙伴的核心商业利益，而运营中的汽车业务则是 aft GmbH 的核心商业利益。将二者分离并围绕各自的主要利益相关方重新平衡各实体的所有权，是本次重组的核心商业目标。</w:t>
      </w:r>
    </w:p>
    <w:p>
      <w:r>
        <w:br w:type="page"/>
      </w:r>
    </w:p>
    <w:p>
      <w:pPr>
        <w:pStyle w:val="Heading1"/>
      </w:pPr>
      <w:r>
        <w:rPr>
          <w:rFonts w:ascii="Arial" w:hAnsi="Arial" w:eastAsia="微软雅黑"/>
          <w:color w:val="003366"/>
        </w:rPr>
        <w:t>3. 报告范围</w:t>
      </w:r>
    </w:p>
    <w:p>
      <w:r>
        <w:rPr>
          <w:rFonts w:ascii="Arial" w:hAnsi="Arial" w:eastAsia="微软雅黑"/>
          <w:b w:val="0"/>
          <w:i w:val="0"/>
          <w:sz w:val="20"/>
        </w:rPr>
        <w:t>本报告涵盖资产转让和股权转让的中国税务分析，包括：</w:t>
      </w:r>
    </w:p>
    <w:p>
      <w:pPr>
        <w:pStyle w:val="ListBullet"/>
      </w:pPr>
      <w:r>
        <w:rPr>
          <w:rFonts w:ascii="Arial" w:hAnsi="Arial" w:eastAsia="微软雅黑"/>
          <w:sz w:val="20"/>
        </w:rPr>
        <w:t>企业所得税、增值税、契税/土地增值税、印花税、关税及进口增值税，以及员工转让涉及的个人所得税（"IIT"）和社会保险（"SI"）；</w:t>
      </w:r>
    </w:p>
    <w:p>
      <w:pPr>
        <w:pStyle w:val="ListBullet"/>
      </w:pPr>
      <w:r>
        <w:rPr>
          <w:rFonts w:ascii="Arial" w:hAnsi="Arial" w:eastAsia="微软雅黑"/>
          <w:sz w:val="20"/>
        </w:rPr>
        <w:t>股权转让收益的预提税机制及协定适用分析；</w:t>
      </w:r>
    </w:p>
    <w:p>
      <w:pPr>
        <w:pStyle w:val="ListBullet"/>
      </w:pPr>
      <w:r>
        <w:rPr>
          <w:rFonts w:ascii="Arial" w:hAnsi="Arial" w:eastAsia="微软雅黑"/>
          <w:sz w:val="20"/>
        </w:rPr>
        <w:t>1,210 万元人民币应收款核销的处理；</w:t>
      </w:r>
    </w:p>
    <w:p>
      <w:pPr>
        <w:pStyle w:val="ListBullet"/>
      </w:pPr>
      <w:r>
        <w:rPr>
          <w:rFonts w:ascii="Arial" w:hAnsi="Arial" w:eastAsia="微软雅黑"/>
          <w:sz w:val="20"/>
        </w:rPr>
        <w:t>重组后 aft苏州 税务属性（累计亏损、增值税留抵余额）的处理；</w:t>
      </w:r>
    </w:p>
    <w:p>
      <w:pPr>
        <w:pStyle w:val="ListBullet"/>
      </w:pPr>
      <w:r>
        <w:rPr>
          <w:rFonts w:ascii="Arial" w:hAnsi="Arial" w:eastAsia="微软雅黑"/>
          <w:sz w:val="20"/>
        </w:rPr>
        <w:t>aft新公司 设立时的间接税设置；</w:t>
      </w:r>
    </w:p>
    <w:p>
      <w:pPr>
        <w:pStyle w:val="ListBullet"/>
      </w:pPr>
      <w:r>
        <w:rPr>
          <w:rFonts w:ascii="Arial" w:hAnsi="Arial" w:eastAsia="微软雅黑"/>
          <w:sz w:val="20"/>
        </w:rPr>
        <w:t>申报、审批以及执行和税务申报的推荐顺序。</w:t>
      </w:r>
    </w:p>
    <w:p>
      <w:pPr>
        <w:pStyle w:val="Heading2"/>
      </w:pPr>
      <w:r>
        <w:rPr>
          <w:rFonts w:ascii="Arial" w:hAnsi="Arial" w:eastAsia="微软雅黑"/>
          <w:color w:val="003366"/>
        </w:rPr>
        <w:t>已审阅文件</w:t>
      </w:r>
    </w:p>
    <w:p>
      <w:r>
        <w:rPr>
          <w:rFonts w:ascii="Arial" w:hAnsi="Arial" w:eastAsia="微软雅黑"/>
          <w:b w:val="0"/>
          <w:i w:val="0"/>
          <w:sz w:val="20"/>
        </w:rPr>
        <w:t>本报告基于客户提供的以下材料：</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
              <w:rPr>
                <w:rFonts w:ascii="Arial" w:hAnsi="Arial" w:eastAsia="微软雅黑"/>
                <w:b/>
                <w:sz w:val="16"/>
              </w:rPr>
              <w:t>序号</w:t>
            </w:r>
          </w:p>
        </w:tc>
        <w:tc>
          <w:tcPr>
            <w:tcW w:type="dxa" w:w="2340"/>
          </w:tcPr>
          <w:p>
            <w:r/>
            <w:r>
              <w:rPr>
                <w:rFonts w:ascii="Arial" w:hAnsi="Arial" w:eastAsia="微软雅黑"/>
                <w:b/>
                <w:sz w:val="16"/>
              </w:rPr>
              <w:t>文件名称</w:t>
            </w:r>
          </w:p>
        </w:tc>
        <w:tc>
          <w:tcPr>
            <w:tcW w:type="dxa" w:w="2340"/>
          </w:tcPr>
          <w:p>
            <w:r/>
            <w:r>
              <w:rPr>
                <w:rFonts w:ascii="Arial" w:hAnsi="Arial" w:eastAsia="微软雅黑"/>
                <w:b/>
                <w:sz w:val="16"/>
              </w:rPr>
              <w:t>日期</w:t>
            </w:r>
          </w:p>
        </w:tc>
        <w:tc>
          <w:tcPr>
            <w:tcW w:type="dxa" w:w="2340"/>
          </w:tcPr>
          <w:p>
            <w:r/>
            <w:r>
              <w:rPr>
                <w:rFonts w:ascii="Arial" w:hAnsi="Arial" w:eastAsia="微软雅黑"/>
                <w:b/>
                <w:sz w:val="16"/>
              </w:rPr>
              <w:t>状态</w:t>
            </w:r>
          </w:p>
        </w:tc>
      </w:tr>
      <w:tr>
        <w:tc>
          <w:tcPr>
            <w:tcW w:type="dxa" w:w="2340"/>
          </w:tcPr>
          <w:p>
            <w:r/>
            <w:r>
              <w:rPr>
                <w:rFonts w:ascii="Arial" w:hAnsi="Arial" w:eastAsia="微软雅黑"/>
                <w:b w:val="0"/>
                <w:sz w:val="16"/>
              </w:rPr>
              <w:t>1</w:t>
            </w:r>
          </w:p>
        </w:tc>
        <w:tc>
          <w:tcPr>
            <w:tcW w:type="dxa" w:w="2340"/>
          </w:tcPr>
          <w:p>
            <w:r/>
            <w:r>
              <w:rPr>
                <w:rFonts w:ascii="Arial" w:hAnsi="Arial" w:eastAsia="微软雅黑"/>
                <w:b w:val="0"/>
                <w:sz w:val="16"/>
              </w:rPr>
              <w:t>关于设立 aft 汽车系统（苏州）有限公司的股东协议</w:t>
            </w:r>
          </w:p>
        </w:tc>
        <w:tc>
          <w:tcPr>
            <w:tcW w:type="dxa" w:w="2340"/>
          </w:tcPr>
          <w:p>
            <w:r/>
            <w:r>
              <w:rPr>
                <w:rFonts w:ascii="Arial" w:hAnsi="Arial" w:eastAsia="微软雅黑"/>
                <w:b w:val="0"/>
                <w:sz w:val="16"/>
              </w:rPr>
              <w:t>2023年6月9日</w:t>
            </w:r>
          </w:p>
        </w:tc>
        <w:tc>
          <w:tcPr>
            <w:tcW w:type="dxa" w:w="2340"/>
          </w:tcPr>
          <w:p>
            <w:r/>
            <w:r>
              <w:rPr>
                <w:rFonts w:ascii="Arial" w:hAnsi="Arial" w:eastAsia="微软雅黑"/>
                <w:b w:val="0"/>
                <w:sz w:val="16"/>
              </w:rPr>
              <w:t>已签署</w:t>
            </w:r>
          </w:p>
        </w:tc>
      </w:tr>
      <w:tr>
        <w:tc>
          <w:tcPr>
            <w:tcW w:type="dxa" w:w="2340"/>
          </w:tcPr>
          <w:p>
            <w:r/>
            <w:r>
              <w:rPr>
                <w:rFonts w:ascii="Arial" w:hAnsi="Arial" w:eastAsia="微软雅黑"/>
                <w:b w:val="0"/>
                <w:sz w:val="16"/>
              </w:rPr>
              <w:t>2</w:t>
            </w:r>
          </w:p>
        </w:tc>
        <w:tc>
          <w:tcPr>
            <w:tcW w:type="dxa" w:w="2340"/>
          </w:tcPr>
          <w:p>
            <w:r/>
            <w:r>
              <w:rPr>
                <w:rFonts w:ascii="Arial" w:hAnsi="Arial" w:eastAsia="微软雅黑"/>
                <w:b w:val="0"/>
                <w:sz w:val="16"/>
              </w:rPr>
              <w:t>股东协议之补充协议</w:t>
            </w:r>
          </w:p>
        </w:tc>
        <w:tc>
          <w:tcPr>
            <w:tcW w:type="dxa" w:w="2340"/>
          </w:tcPr>
          <w:p>
            <w:r/>
            <w:r>
              <w:rPr>
                <w:rFonts w:ascii="Arial" w:hAnsi="Arial" w:eastAsia="微软雅黑"/>
                <w:b w:val="0"/>
                <w:sz w:val="16"/>
              </w:rPr>
              <w:t>2023年6月9日</w:t>
            </w:r>
          </w:p>
        </w:tc>
        <w:tc>
          <w:tcPr>
            <w:tcW w:type="dxa" w:w="2340"/>
          </w:tcPr>
          <w:p>
            <w:r/>
            <w:r>
              <w:rPr>
                <w:rFonts w:ascii="Arial" w:hAnsi="Arial" w:eastAsia="微软雅黑"/>
                <w:b w:val="0"/>
                <w:sz w:val="16"/>
              </w:rPr>
              <w:t>已签署；附录I（客户清单）和附录IV（设备清单）在所提供版本中未填写</w:t>
            </w:r>
          </w:p>
        </w:tc>
      </w:tr>
      <w:tr>
        <w:tc>
          <w:tcPr>
            <w:tcW w:type="dxa" w:w="2340"/>
          </w:tcPr>
          <w:p>
            <w:r/>
            <w:r>
              <w:rPr>
                <w:rFonts w:ascii="Arial" w:hAnsi="Arial" w:eastAsia="微软雅黑"/>
                <w:b w:val="0"/>
                <w:sz w:val="16"/>
              </w:rPr>
              <w:t>3</w:t>
            </w:r>
          </w:p>
        </w:tc>
        <w:tc>
          <w:tcPr>
            <w:tcW w:type="dxa" w:w="2340"/>
          </w:tcPr>
          <w:p>
            <w:r/>
            <w:r>
              <w:rPr>
                <w:rFonts w:ascii="Arial" w:hAnsi="Arial" w:eastAsia="微软雅黑"/>
                <w:b w:val="0"/>
                <w:sz w:val="16"/>
              </w:rPr>
              <w:t>aft苏州 和 aft新公司 模拟资产负债表——转让前后情景</w:t>
            </w:r>
          </w:p>
        </w:tc>
        <w:tc>
          <w:tcPr>
            <w:tcW w:type="dxa" w:w="2340"/>
          </w:tcPr>
          <w:p>
            <w:r/>
            <w:r>
              <w:rPr>
                <w:rFonts w:ascii="Arial" w:hAnsi="Arial" w:eastAsia="微软雅黑"/>
                <w:b w:val="0"/>
                <w:sz w:val="16"/>
              </w:rPr>
              <w:t>2025年8月30日</w:t>
            </w:r>
          </w:p>
        </w:tc>
        <w:tc>
          <w:tcPr>
            <w:tcW w:type="dxa" w:w="2340"/>
          </w:tcPr>
          <w:p>
            <w:r/>
            <w:r>
              <w:rPr>
                <w:rFonts w:ascii="Arial" w:hAnsi="Arial" w:eastAsia="微软雅黑"/>
                <w:b w:val="0"/>
                <w:sz w:val="16"/>
              </w:rPr>
              <w:t>内部管理报告；未经审计</w:t>
            </w:r>
          </w:p>
        </w:tc>
      </w:tr>
      <w:tr>
        <w:tc>
          <w:tcPr>
            <w:tcW w:type="dxa" w:w="2340"/>
          </w:tcPr>
          <w:p>
            <w:r/>
            <w:r>
              <w:rPr>
                <w:rFonts w:ascii="Arial" w:hAnsi="Arial" w:eastAsia="微软雅黑"/>
                <w:b w:val="0"/>
                <w:sz w:val="16"/>
              </w:rPr>
              <w:t>4</w:t>
            </w:r>
          </w:p>
        </w:tc>
        <w:tc>
          <w:tcPr>
            <w:tcW w:type="dxa" w:w="2340"/>
          </w:tcPr>
          <w:p>
            <w:r/>
            <w:r>
              <w:rPr>
                <w:rFonts w:ascii="Arial" w:hAnsi="Arial" w:eastAsia="微软雅黑"/>
                <w:b w:val="0"/>
                <w:sz w:val="16"/>
              </w:rPr>
              <w:t>Karl Tang 与 Johannes Drepper 之间关于资产和债务转让的纪要</w:t>
            </w:r>
          </w:p>
        </w:tc>
        <w:tc>
          <w:tcPr>
            <w:tcW w:type="dxa" w:w="2340"/>
          </w:tcPr>
          <w:p>
            <w:r/>
            <w:r>
              <w:rPr>
                <w:rFonts w:ascii="Arial" w:hAnsi="Arial" w:eastAsia="微软雅黑"/>
                <w:b w:val="0"/>
                <w:sz w:val="16"/>
              </w:rPr>
              <w:t>2025年11月25–26日</w:t>
            </w:r>
          </w:p>
        </w:tc>
        <w:tc>
          <w:tcPr>
            <w:tcW w:type="dxa" w:w="2340"/>
          </w:tcPr>
          <w:p>
            <w:r/>
            <w:r>
              <w:rPr>
                <w:rFonts w:ascii="Arial" w:hAnsi="Arial" w:eastAsia="微软雅黑"/>
                <w:b w:val="0"/>
                <w:sz w:val="16"/>
              </w:rPr>
              <w:t>已签署</w:t>
            </w:r>
          </w:p>
        </w:tc>
      </w:tr>
      <w:tr>
        <w:tc>
          <w:tcPr>
            <w:tcW w:type="dxa" w:w="2340"/>
          </w:tcPr>
          <w:p>
            <w:r/>
            <w:r>
              <w:rPr>
                <w:rFonts w:ascii="Arial" w:hAnsi="Arial" w:eastAsia="微软雅黑"/>
                <w:b w:val="0"/>
                <w:sz w:val="16"/>
              </w:rPr>
              <w:t>5</w:t>
            </w:r>
          </w:p>
        </w:tc>
        <w:tc>
          <w:tcPr>
            <w:tcW w:type="dxa" w:w="2340"/>
          </w:tcPr>
          <w:p>
            <w:r/>
            <w:r>
              <w:rPr>
                <w:rFonts w:ascii="Arial" w:hAnsi="Arial" w:eastAsia="微软雅黑"/>
                <w:b w:val="0"/>
                <w:sz w:val="16"/>
              </w:rPr>
              <w:t>其他相关企业信息和沟通记录</w:t>
            </w:r>
          </w:p>
        </w:tc>
        <w:tc>
          <w:tcPr>
            <w:tcW w:type="dxa" w:w="2340"/>
          </w:tcPr>
          <w:p>
            <w:r/>
            <w:r>
              <w:rPr>
                <w:rFonts w:ascii="Arial" w:hAnsi="Arial" w:eastAsia="微软雅黑"/>
                <w:b w:val="0"/>
                <w:sz w:val="16"/>
              </w:rPr>
              <w:t>各日期</w:t>
            </w:r>
          </w:p>
        </w:tc>
        <w:tc>
          <w:tcPr>
            <w:tcW w:type="dxa" w:w="2340"/>
          </w:tcPr>
          <w:p>
            <w:r/>
            <w:r>
              <w:rPr>
                <w:rFonts w:ascii="Arial" w:hAnsi="Arial" w:eastAsia="微软雅黑"/>
                <w:b w:val="0"/>
                <w:sz w:val="16"/>
              </w:rPr>
              <w:t>—</w:t>
            </w:r>
          </w:p>
        </w:tc>
      </w:tr>
    </w:tbl>
    <w:p>
      <w:r>
        <w:rPr>
          <w:rFonts w:ascii="Arial" w:hAnsi="Arial" w:eastAsia="微软雅黑"/>
          <w:b w:val="0"/>
          <w:i w:val="0"/>
          <w:sz w:val="20"/>
        </w:rPr>
      </w:r>
    </w:p>
    <w:p>
      <w:r>
        <w:rPr>
          <w:rFonts w:ascii="Arial" w:hAnsi="Arial" w:eastAsia="微软雅黑"/>
          <w:b w:val="0"/>
          <w:i w:val="0"/>
          <w:sz w:val="20"/>
        </w:rPr>
        <w:t>本报告的结论以这些材料的完整性和准确性为前提。在文件不完整（特别是《补充协议》的附录）或信息未提供的情况下，本报告在相关章节中予以指出，并汇总于报告最后一节的待处理事项中。</w:t>
      </w:r>
    </w:p>
    <w:p>
      <w:r>
        <w:br w:type="page"/>
      </w:r>
    </w:p>
    <w:p>
      <w:pPr>
        <w:pStyle w:val="Heading1"/>
      </w:pPr>
      <w:r>
        <w:rPr>
          <w:rFonts w:ascii="Arial" w:hAnsi="Arial" w:eastAsia="微软雅黑"/>
          <w:color w:val="003366"/>
        </w:rPr>
        <w:t>4. 资产转让——税务分析</w:t>
      </w:r>
    </w:p>
    <w:p>
      <w:pPr>
        <w:pStyle w:val="Heading2"/>
      </w:pPr>
      <w:r>
        <w:rPr>
          <w:rFonts w:ascii="Arial" w:hAnsi="Arial" w:eastAsia="微软雅黑"/>
          <w:color w:val="003366"/>
        </w:rPr>
        <w:t>4.1 作为符合条件的资产重组的定性</w:t>
      </w:r>
    </w:p>
    <w:p>
      <w:r>
        <w:rPr>
          <w:rFonts w:ascii="Arial" w:hAnsi="Arial" w:eastAsia="微软雅黑"/>
          <w:b w:val="0"/>
          <w:i w:val="0"/>
          <w:sz w:val="20"/>
        </w:rPr>
        <w:t>文件描述了将"整个汽车零部件业务"移至 aft新公司，而厂房活动保留在 aft苏州（《补充协议》第 1.1 条）。客户将通过联合信函方式迁移；合同将转让或终止并重新签署；员工将转移；相关应收款、应付款和存货将随之转移。</w:t>
      </w:r>
    </w:p>
    <w:p>
      <w:r>
        <w:rPr>
          <w:rFonts w:ascii="Arial" w:hAnsi="Arial" w:eastAsia="微软雅黑"/>
          <w:b w:val="0"/>
          <w:i w:val="0"/>
          <w:sz w:val="20"/>
        </w:rPr>
        <w:t>这一模式符合国家税务总局（"国税总局"）[2011]第13号公告项下的资产重组制度，该公告规定，在资产重组过程中，纳税人将其全部或部分实物资产连同相关债权、债务和劳动力一并转让，不属于增值税征税范围。国税总局[2013]第66号公告将这一原则延伸至多步转让，前提是同一受让方将资产、债权、债务和劳动力作为一个整体资产包取得。国税总局[2026]第13号公告进一步明确，资产重组标的物必须是"能够相对独立运营的经营性业务"，资产包须同时包含资产、债权、债务和员工，且重组须具有合理商业目的（不以减少、递延或退还增值税为主要目的）。</w:t>
      </w:r>
    </w:p>
    <w:p>
      <w:r>
        <w:rPr>
          <w:rFonts w:ascii="Arial" w:hAnsi="Arial" w:eastAsia="微软雅黑"/>
          <w:b w:val="0"/>
          <w:i w:val="0"/>
          <w:sz w:val="20"/>
        </w:rPr>
        <w:t>取得合格定性需要：</w:t>
      </w:r>
    </w:p>
    <w:p>
      <w:pPr>
        <w:pStyle w:val="ListBullet"/>
      </w:pPr>
      <w:r>
        <w:rPr>
          <w:rFonts w:ascii="Arial" w:hAnsi="Arial" w:eastAsia="微软雅黑"/>
          <w:sz w:val="20"/>
        </w:rPr>
        <w:t>一份统一的整体业务转让协议（或一份框架协议将若干子协议框定为一次整体转让）；</w:t>
      </w:r>
    </w:p>
    <w:p>
      <w:pPr>
        <w:pStyle w:val="ListBullet"/>
      </w:pPr>
      <w:r>
        <w:rPr>
          <w:rFonts w:ascii="Arial" w:hAnsi="Arial" w:eastAsia="微软雅黑"/>
          <w:sz w:val="20"/>
        </w:rPr>
        <w:t>客户合同转让的书面记录（或在取得客户同意后的合同转让——《补充协议》第 1.1 条规定了针对不同意客户的联合信函机制）；</w:t>
      </w:r>
    </w:p>
    <w:p>
      <w:pPr>
        <w:pStyle w:val="ListBullet"/>
      </w:pPr>
      <w:r>
        <w:rPr>
          <w:rFonts w:ascii="Arial" w:hAnsi="Arial" w:eastAsia="微软雅黑"/>
          <w:sz w:val="20"/>
        </w:rPr>
        <w:t>劳动力转移的书面记录（见下文）；以及</w:t>
      </w:r>
    </w:p>
    <w:p>
      <w:pPr>
        <w:pStyle w:val="ListBullet"/>
      </w:pPr>
      <w:r>
        <w:rPr>
          <w:rFonts w:ascii="Arial" w:hAnsi="Arial" w:eastAsia="微软雅黑"/>
          <w:sz w:val="20"/>
        </w:rPr>
        <w:t>在 aft新公司 开始经营之前实质完成业务转让。</w:t>
      </w:r>
    </w:p>
    <w:p>
      <w:r>
        <w:rPr>
          <w:rFonts w:ascii="Arial" w:hAnsi="Arial" w:eastAsia="微软雅黑"/>
          <w:b w:val="0"/>
          <w:i w:val="0"/>
          <w:sz w:val="20"/>
        </w:rPr>
        <w:t>税务机关预期 aft苏州 将提交以下证明文件：</w:t>
      </w:r>
    </w:p>
    <w:p>
      <w:pPr>
        <w:pStyle w:val="ListBullet"/>
      </w:pPr>
      <w:r>
        <w:rPr>
          <w:rFonts w:ascii="Arial" w:hAnsi="Arial" w:eastAsia="微软雅黑"/>
          <w:sz w:val="20"/>
        </w:rPr>
        <w:t>一份重组方案，载明背景情况、所涉法律实体、重组形式以及所涉资产、债务人、债权人和劳动力的描述；</w:t>
      </w:r>
    </w:p>
    <w:p>
      <w:pPr>
        <w:pStyle w:val="ListBullet"/>
      </w:pPr>
      <w:r>
        <w:rPr>
          <w:rFonts w:ascii="Arial" w:hAnsi="Arial" w:eastAsia="微软雅黑"/>
          <w:sz w:val="20"/>
        </w:rPr>
        <w:t>明确将哪些资产、负债和劳动力转移至新公司的转让合同；</w:t>
      </w:r>
    </w:p>
    <w:p>
      <w:pPr>
        <w:pStyle w:val="ListBullet"/>
      </w:pPr>
      <w:r>
        <w:rPr>
          <w:rFonts w:ascii="Arial" w:hAnsi="Arial" w:eastAsia="微软雅黑"/>
          <w:sz w:val="20"/>
        </w:rPr>
        <w:t>对所转让资产包的专项审计或评估报告；</w:t>
      </w:r>
    </w:p>
    <w:p>
      <w:pPr>
        <w:pStyle w:val="ListBullet"/>
      </w:pPr>
      <w:r>
        <w:rPr>
          <w:rFonts w:ascii="Arial" w:hAnsi="Arial" w:eastAsia="微软雅黑"/>
          <w:sz w:val="20"/>
        </w:rPr>
        <w:t>证明员工愿意为新公司工作的劳动合同变更证明；</w:t>
      </w:r>
    </w:p>
    <w:p>
      <w:pPr>
        <w:pStyle w:val="ListBullet"/>
      </w:pPr>
      <w:r>
        <w:rPr>
          <w:rFonts w:ascii="Arial" w:hAnsi="Arial" w:eastAsia="微软雅黑"/>
          <w:sz w:val="20"/>
        </w:rPr>
        <w:t>证明所转让贸易余额的债权人和债务人已收到转让通知的证明；以及</w:t>
      </w:r>
    </w:p>
    <w:p>
      <w:pPr>
        <w:pStyle w:val="ListBullet"/>
      </w:pPr>
      <w:r>
        <w:rPr>
          <w:rFonts w:ascii="Arial" w:hAnsi="Arial" w:eastAsia="微软雅黑"/>
          <w:sz w:val="20"/>
        </w:rPr>
        <w:t>增强商业目的叙事效果的补充文件——董事会决议、股东决定、说明重组必要性和商业理由（资源整合、运营效率、厂房与经营业务分离）的解释性备忘录。</w:t>
      </w:r>
    </w:p>
    <w:p>
      <w:r>
        <w:rPr>
          <w:rFonts w:ascii="Arial" w:hAnsi="Arial" w:eastAsia="微软雅黑"/>
          <w:b w:val="0"/>
          <w:i w:val="0"/>
          <w:sz w:val="20"/>
        </w:rPr>
        <w:t>这套文件旨在证明该交易是一项单一资产包转让，而非一系列独立的资产销售。</w:t>
      </w:r>
    </w:p>
    <w:p>
      <w:r>
        <w:rPr>
          <w:rFonts w:ascii="Arial" w:hAnsi="Arial" w:eastAsia="微软雅黑"/>
          <w:b w:val="0"/>
          <w:i w:val="0"/>
          <w:sz w:val="20"/>
        </w:rPr>
        <w:t>反之，如果转让以一系列独立资产销售的方式执行，而没有相应地将债权、债务和劳动力作为一个整体资产包转移，国税总局[2011]第13号公告项下的资产重组处理将很可能不适用，增值税将按每个资产类别分别计征。现金流和企业所得税的差异是重大的。</w:t>
      </w:r>
    </w:p>
    <w:p>
      <w:r>
        <w:rPr>
          <w:rFonts w:ascii="Arial" w:hAnsi="Arial" w:eastAsia="微软雅黑"/>
          <w:b/>
          <w:i w:val="0"/>
          <w:sz w:val="20"/>
        </w:rPr>
        <w:t>建议：按照国税总局[2011]第13号公告的要求，将转让进行结构安排和文件记录，使之构成符合条件的资产重组。</w:t>
      </w:r>
    </w:p>
    <w:p>
      <w:pPr>
        <w:pStyle w:val="Heading2"/>
      </w:pPr>
      <w:r>
        <w:rPr>
          <w:rFonts w:ascii="Arial" w:hAnsi="Arial" w:eastAsia="微软雅黑"/>
          <w:color w:val="003366"/>
        </w:rPr>
        <w:t>4.2 aft苏州 的企业所得税</w:t>
      </w:r>
    </w:p>
    <w:p>
      <w:r>
        <w:rPr>
          <w:rFonts w:ascii="Arial" w:hAnsi="Arial" w:eastAsia="微软雅黑"/>
          <w:b w:val="0"/>
          <w:i w:val="0"/>
          <w:sz w:val="20"/>
        </w:rPr>
        <w:t>根据一般企业所得税制度（《企业所得税法》第6条和第25条）：</w:t>
      </w:r>
    </w:p>
    <w:p>
      <w:pPr>
        <w:pStyle w:val="ListBullet"/>
      </w:pPr>
      <w:r>
        <w:rPr>
          <w:rFonts w:ascii="Arial" w:hAnsi="Arial" w:eastAsia="微软雅黑"/>
          <w:sz w:val="20"/>
        </w:rPr>
        <w:t>该转让是按公允价值进行的资产处置；</w:t>
      </w:r>
    </w:p>
    <w:p>
      <w:pPr>
        <w:pStyle w:val="ListBullet"/>
      </w:pPr>
      <w:r>
        <w:rPr>
          <w:rFonts w:ascii="Arial" w:hAnsi="Arial" w:eastAsia="微软雅黑"/>
          <w:sz w:val="20"/>
        </w:rPr>
        <w:t>收益或亏损 = 收到的对价公允价值 − 转让资产的计税基础；</w:t>
      </w:r>
    </w:p>
    <w:p>
      <w:pPr>
        <w:pStyle w:val="ListBullet"/>
      </w:pPr>
      <w:r>
        <w:rPr>
          <w:rFonts w:ascii="Arial" w:hAnsi="Arial" w:eastAsia="微软雅黑"/>
          <w:sz w:val="20"/>
        </w:rPr>
        <w:t>任何收益须按 25% 税率缴纳企业所得税，由 aft苏州 支付，在处置年度确认。</w:t>
      </w:r>
    </w:p>
    <w:p>
      <w:r>
        <w:rPr>
          <w:rFonts w:ascii="Arial" w:hAnsi="Arial" w:eastAsia="微软雅黑"/>
          <w:b w:val="0"/>
          <w:i w:val="0"/>
          <w:sz w:val="20"/>
        </w:rPr>
        <w:t>转让至 aft新公司 的资产包括运营设备、汽车相关在建工程、汽车相关无形资产、存货，以及与汽车零部件业务相关的贸易应收款和流动资产。模拟资产负债表表明，对价约等于这些资产的账面基础，且 aft新公司 承担了 aft苏州 应付 aft GmbH 的相当一部分应付款作为部分对价。从模拟资产负债表来看，aft苏州 的指示性企业所得税收益接近于零。</w:t>
      </w:r>
    </w:p>
    <w:p>
      <w:pPr>
        <w:pStyle w:val="Heading3"/>
      </w:pPr>
      <w:r>
        <w:rPr>
          <w:rFonts w:ascii="Arial" w:hAnsi="Arial" w:eastAsia="微软雅黑"/>
          <w:color w:val="003366"/>
        </w:rPr>
        <w:t>剩余的公允价值评估风险</w:t>
      </w:r>
    </w:p>
    <w:p>
      <w:r>
        <w:rPr>
          <w:rFonts w:ascii="Arial" w:hAnsi="Arial" w:eastAsia="微软雅黑"/>
          <w:b w:val="0"/>
          <w:i w:val="0"/>
          <w:sz w:val="20"/>
        </w:rPr>
        <w:t>根据一般反避税规则（《企业所得税法》第47条），税务机关有权在关联方转让以非独立交易价格进行时，按更高的公允价值进行评估。在资产重组背景下，当资产包大致匹配承担的负债，且运营业务作为一个整体转移时，产生重大评估的实际风险属于中度而非主要风险。税务机关通常考量的因素包括：被转让业务的盈利能力、技术和专有技术价值、客户清单价值，以及嵌入劳动力和供应关系中的持续经营商誉——在此背景下，账面价值与公允价值之间的轻微差异通常在税务机关容忍范围内。</w:t>
      </w:r>
    </w:p>
    <w:p>
      <w:r>
        <w:rPr>
          <w:rFonts w:ascii="Arial" w:hAnsi="Arial" w:eastAsia="微软雅黑"/>
          <w:b w:val="0"/>
          <w:i w:val="0"/>
          <w:sz w:val="20"/>
        </w:rPr>
        <w:t>建议的缓解措施：由一家中国认可的评估机构出具一份独立的评估报告，为转让对价提供支撑。该报告无需支持与账面价值有重大差异的估值即可使结构成立；其主要作用是作为应对未来税务机关审查的文件性抗辩。无论剩余风险大小，我们建议将其作为标准做法获取。</w:t>
      </w:r>
    </w:p>
    <w:p>
      <w:pPr>
        <w:pStyle w:val="Heading2"/>
      </w:pPr>
      <w:r>
        <w:rPr>
          <w:rFonts w:ascii="Arial" w:hAnsi="Arial" w:eastAsia="微软雅黑"/>
          <w:color w:val="003366"/>
        </w:rPr>
        <w:t>4.3 增值税</w:t>
      </w:r>
    </w:p>
    <w:p>
      <w:r>
        <w:rPr>
          <w:rFonts w:ascii="Arial" w:hAnsi="Arial" w:eastAsia="微软雅黑"/>
          <w:b w:val="0"/>
          <w:i w:val="0"/>
          <w:sz w:val="20"/>
        </w:rPr>
        <w:t>整体资产包处理立场（首选）。如果转让符合国税总局[2011]第13号公告（结合国税总局[2013]第66号公告和国税总局[2026]第13号公告的规定），资产转让不征收增值税。资产部分不开具增值税专用发票（"发票"）；取而代之的是，将业务转让协议连同第7节所列证明文件提交主管税务机关备案。税务机关无义务就增值税免税定性出具书面确认；应保留提交和后续跟进的全部记录。</w:t>
      </w:r>
    </w:p>
    <w:p>
      <w:r>
        <w:rPr>
          <w:rFonts w:ascii="Arial" w:hAnsi="Arial" w:eastAsia="微软雅黑"/>
          <w:b w:val="0"/>
          <w:i w:val="0"/>
          <w:sz w:val="20"/>
        </w:rPr>
        <w:t>备选方案（逐项）。如果资产重组处理被否定，增值税适用如下：</w:t>
      </w:r>
    </w:p>
    <w:p>
      <w:pPr>
        <w:pStyle w:val="ListBullet"/>
      </w:pPr>
      <w:r>
        <w:rPr>
          <w:rFonts w:ascii="Arial" w:hAnsi="Arial" w:eastAsia="微软雅黑"/>
          <w:sz w:val="20"/>
        </w:rPr>
        <w:t>存货和有形固定资产：aft苏州 按 13% 税率开具销项增值税；aft新公司 相应享有进项增值税抵扣（以一般纳税人身份和合规发票为前提）。</w:t>
      </w:r>
    </w:p>
    <w:p>
      <w:pPr>
        <w:pStyle w:val="ListBullet"/>
      </w:pPr>
      <w:r>
        <w:rPr>
          <w:rFonts w:ascii="Arial" w:hAnsi="Arial" w:eastAsia="微软雅黑"/>
          <w:sz w:val="20"/>
        </w:rPr>
        <w:t>在建工程（汽车相关）：处理取决于基础资产的类别；在实践中，如果代表有形资产，税率为 13%。</w:t>
      </w:r>
    </w:p>
    <w:p>
      <w:pPr>
        <w:pStyle w:val="ListBullet"/>
      </w:pPr>
      <w:r>
        <w:rPr>
          <w:rFonts w:ascii="Arial" w:hAnsi="Arial" w:eastAsia="微软雅黑"/>
          <w:sz w:val="20"/>
        </w:rPr>
        <w:t>自行开发的无形资产：6%。</w:t>
      </w:r>
    </w:p>
    <w:p>
      <w:pPr>
        <w:pStyle w:val="ListBullet"/>
      </w:pPr>
      <w:r>
        <w:rPr>
          <w:rFonts w:ascii="Arial" w:hAnsi="Arial" w:eastAsia="微软雅黑"/>
          <w:sz w:val="20"/>
        </w:rPr>
        <w:t>应收账款及其他货币性流动资产：不属于增值税征税范围。</w:t>
      </w:r>
    </w:p>
    <w:p>
      <w:r>
        <w:rPr>
          <w:rFonts w:ascii="Arial" w:hAnsi="Arial" w:eastAsia="微软雅黑"/>
          <w:b w:val="0"/>
          <w:i w:val="0"/>
          <w:sz w:val="20"/>
        </w:rPr>
        <w:t>aft苏州 按设计保留其现有增值税进项留抵余额（Karl Tang–Johannes Drepper 纪要，2025年11月25–26日）。其重组后的使用在第 6.2 节讨论。</w:t>
      </w:r>
    </w:p>
    <w:p>
      <w:pPr>
        <w:pStyle w:val="Heading2"/>
      </w:pPr>
      <w:r>
        <w:rPr>
          <w:rFonts w:ascii="Arial" w:hAnsi="Arial" w:eastAsia="微软雅黑"/>
          <w:color w:val="003366"/>
        </w:rPr>
        <w:t>4.4 印花税</w:t>
      </w:r>
    </w:p>
    <w:p>
      <w:r>
        <w:rPr>
          <w:rFonts w:ascii="Arial" w:hAnsi="Arial" w:eastAsia="微软雅黑"/>
          <w:b w:val="0"/>
          <w:i w:val="0"/>
          <w:sz w:val="20"/>
        </w:rPr>
        <w:t>根据《中华人民共和国印花税法》（2022年7月1日生效）及财税[2024]第14号公告（财政部和国家税务总局联合公告，2024年10月1日至2027年12月31日有效），某些重组交易有资格享受产权转移书据印花税免税。符合条件的类别包括：企业法律形式变更（原投资者保留超过 75%）；合并；分立（由原公司相同投资者组成）；破产清算；以及同一投资主体内部的转让（定义为母公司与全资子公司之间，或同一母公司的全资子公司之间）。</w:t>
      </w:r>
    </w:p>
    <w:p>
      <w:r>
        <w:rPr>
          <w:rFonts w:ascii="Arial" w:hAnsi="Arial" w:eastAsia="微软雅黑"/>
          <w:b w:val="0"/>
          <w:i w:val="0"/>
          <w:sz w:val="20"/>
        </w:rPr>
        <w:t>aft苏州 向 aft新公司 的资产转让不符合上述任何免税类别。在技术意义上，这不是法律形式变更、合并或分立（转让后 aft新公司 65/35 的持股比例与 aft苏州 转让前 51/49 的持股比例不同，且交易并非按照中国公司法以分立形式进行）。这也不属于同一投资主体内部转让，因为 aft苏州 和 aft新公司 将是持股比例不同的姐妹公司，彼此不存在全资持有或共同母公司全资持有的关系。据此：</w:t>
      </w:r>
    </w:p>
    <w:p>
      <w:pPr>
        <w:pStyle w:val="ListBullet"/>
      </w:pPr>
      <w:r>
        <w:rPr>
          <w:rFonts w:ascii="Arial" w:hAnsi="Arial" w:eastAsia="微软雅黑"/>
          <w:sz w:val="20"/>
        </w:rPr>
        <w:t>资产转让协议/业务转让协议：按转让对价的 0.05%（万分之五）缴纳印花税，由 aft苏州 和 aft新公司 双方各自承担。</w:t>
      </w:r>
    </w:p>
    <w:p>
      <w:pPr>
        <w:pStyle w:val="ListBullet"/>
      </w:pPr>
      <w:r>
        <w:rPr>
          <w:rFonts w:ascii="Arial" w:hAnsi="Arial" w:eastAsia="微软雅黑"/>
          <w:sz w:val="20"/>
        </w:rPr>
        <w:t>对 aft新公司 的资本投入：按 aft新公司 账簿中记录的实收资本和资本公积的 0.025%（万分之二点五）缴纳印花税。以注册资本 10,000,000 元人民币计，印花税为 2,500 元人民币。</w:t>
      </w:r>
    </w:p>
    <w:p>
      <w:pPr>
        <w:pStyle w:val="ListBullet"/>
      </w:pPr>
      <w:r>
        <w:rPr>
          <w:rFonts w:ascii="Arial" w:hAnsi="Arial" w:eastAsia="微软雅黑"/>
          <w:sz w:val="20"/>
        </w:rPr>
        <w:t>股权转让协议为独立文书，在第 5.5 节讨论。</w:t>
      </w:r>
    </w:p>
    <w:p>
      <w:r>
        <w:rPr>
          <w:rFonts w:ascii="Arial" w:hAnsi="Arial" w:eastAsia="微软雅黑"/>
          <w:b w:val="0"/>
          <w:i w:val="0"/>
          <w:sz w:val="20"/>
        </w:rPr>
        <w:t>印花税绝对金额较小，但属于自行申报税种，存在审计风险；应在协议签署时同步缴纳。如双方希望适用财税[2024]第14号公告的免税政策，主要抓手是：(i) 将 aft新公司 的持股比例调整为与 aft苏州 转让前的持股比例一致（51/49 而非 65/35），使交易能够定性为分立，或 (ii) 将资产转让调整为在全资实体之间发生。但两者均不符合商业意图，我们不建议采用任何一种方案。</w:t>
      </w:r>
    </w:p>
    <w:p>
      <w:pPr>
        <w:pStyle w:val="Heading2"/>
      </w:pPr>
      <w:r>
        <w:rPr>
          <w:rFonts w:ascii="Arial" w:hAnsi="Arial" w:eastAsia="微软雅黑"/>
          <w:color w:val="003366"/>
        </w:rPr>
        <w:t>4.5 契税和土地增值税</w:t>
      </w:r>
    </w:p>
    <w:p>
      <w:r>
        <w:rPr>
          <w:rFonts w:ascii="Arial" w:hAnsi="Arial" w:eastAsia="微软雅黑"/>
          <w:b w:val="0"/>
          <w:i w:val="0"/>
          <w:sz w:val="20"/>
        </w:rPr>
        <w:t>没有任何不动产或土地使用权从 aft苏州 转让至新公司（《补充协议》第 1.2 条："除厂房和土地外，双方应将 aft苏州 的全部应收账款和固定资产转让给 aft新公司"）。因此不触发契税。</w:t>
      </w:r>
    </w:p>
    <w:p>
      <w:r>
        <w:rPr>
          <w:rFonts w:ascii="Arial" w:hAnsi="Arial" w:eastAsia="微软雅黑"/>
          <w:b w:val="0"/>
          <w:i w:val="0"/>
          <w:sz w:val="20"/>
        </w:rPr>
        <w:t>土地增值税同样不触发。根据国税总局[2023]第51号公告，在符合条件的重组中，如果企业本身不属于房地产开发行业，则土地增值税不适用——aft苏州 是汽车零部件制造商，非房地产开发商，且任何情况下均无土地或厂房发生转移。</w:t>
      </w:r>
    </w:p>
    <w:p>
      <w:r>
        <w:rPr>
          <w:rFonts w:ascii="Arial" w:hAnsi="Arial" w:eastAsia="微软雅黑"/>
          <w:b w:val="0"/>
          <w:i w:val="0"/>
          <w:sz w:val="20"/>
        </w:rPr>
        <w:t>应在与税务机关的沟通中明确确认这一点，因为这些税种的缺失是所选结构的关键效率优势之一。</w:t>
      </w:r>
    </w:p>
    <w:p>
      <w:pPr>
        <w:pStyle w:val="Heading2"/>
      </w:pPr>
      <w:r>
        <w:rPr>
          <w:rFonts w:ascii="Arial" w:hAnsi="Arial" w:eastAsia="微软雅黑"/>
          <w:color w:val="003366"/>
        </w:rPr>
        <w:t>4.6 设备的关税和进口增值税</w:t>
      </w:r>
    </w:p>
    <w:p>
      <w:r>
        <w:rPr>
          <w:rFonts w:ascii="Arial" w:hAnsi="Arial" w:eastAsia="微软雅黑"/>
          <w:b w:val="0"/>
          <w:i w:val="0"/>
          <w:sz w:val="20"/>
        </w:rPr>
        <w:t>如果制造设备是在免税或减税制度下进口的（鼓励类外商投资企业），在海关监管期内（一般自进口之日起五年）法律所有权发生变更，可能触发对折旧后价值的补充关税和进口增值税，或需要海关对受监管货物境内转让的批准。</w:t>
      </w:r>
    </w:p>
    <w:p>
      <w:r>
        <w:rPr>
          <w:rFonts w:ascii="Arial" w:hAnsi="Arial" w:eastAsia="微软雅黑"/>
          <w:b w:val="0"/>
          <w:i w:val="0"/>
          <w:sz w:val="20"/>
        </w:rPr>
        <w:t>《补充协议》附录IV的设备清单未填写。转让的设备包括德国来源（可能为进口）和国内采购的物品。</w:t>
      </w:r>
    </w:p>
    <w:p>
      <w:r>
        <w:rPr>
          <w:rFonts w:ascii="Arial" w:hAnsi="Arial" w:eastAsia="微软雅黑"/>
          <w:b w:val="0"/>
          <w:i w:val="0"/>
          <w:sz w:val="20"/>
        </w:rPr>
        <w:t>所需行动：</w:t>
      </w:r>
    </w:p>
    <w:p>
      <w:pPr>
        <w:pStyle w:val="ListBullet"/>
      </w:pPr>
      <w:r>
        <w:rPr>
          <w:rFonts w:ascii="Arial" w:hAnsi="Arial" w:eastAsia="微软雅黑"/>
          <w:sz w:val="20"/>
        </w:rPr>
        <w:t>获取设备主清单，包括进口日期、原产国、报关单号以及任何免税记录。</w:t>
      </w:r>
    </w:p>
    <w:p>
      <w:pPr>
        <w:pStyle w:val="ListBullet"/>
      </w:pPr>
      <w:r>
        <w:rPr>
          <w:rFonts w:ascii="Arial" w:hAnsi="Arial" w:eastAsia="微软雅黑"/>
          <w:sz w:val="20"/>
        </w:rPr>
        <w:t>针对每一项进口物品，确定海关监管期是否已届满。</w:t>
      </w:r>
    </w:p>
    <w:p>
      <w:pPr>
        <w:pStyle w:val="ListBullet"/>
      </w:pPr>
      <w:r>
        <w:rPr>
          <w:rFonts w:ascii="Arial" w:hAnsi="Arial" w:eastAsia="微软雅黑"/>
          <w:sz w:val="20"/>
        </w:rPr>
        <w:t>对于仍处于监管期内的物品，提交必要的海关所有权变更申请，并确认转让不触发关税追征。</w:t>
      </w:r>
    </w:p>
    <w:p>
      <w:pPr>
        <w:pStyle w:val="Heading2"/>
      </w:pPr>
      <w:r>
        <w:rPr>
          <w:rFonts w:ascii="Arial" w:hAnsi="Arial" w:eastAsia="微软雅黑"/>
          <w:color w:val="003366"/>
        </w:rPr>
        <w:t>4.7 设备所有权不一致</w:t>
      </w:r>
    </w:p>
    <w:p>
      <w:r>
        <w:rPr>
          <w:rFonts w:ascii="Arial" w:hAnsi="Arial" w:eastAsia="微软雅黑"/>
          <w:b w:val="0"/>
          <w:i w:val="0"/>
          <w:sz w:val="20"/>
        </w:rPr>
        <w:t>《补充协议》第 1.8 条载明，所有制造设备由甲方（aft GmbH）所有，科泰对其无任何权利主张。然而，aft苏州 的账簿将设备显示为 aft苏州 的固定资产，对应有应付 aft GmbH 的应付款（截至 2025年8月30日，"应付 aft 贸易款项"余额 50,707,456 元人民币中的相当一部分）。</w:t>
      </w:r>
    </w:p>
    <w:p>
      <w:r>
        <w:rPr>
          <w:rFonts w:ascii="Arial" w:hAnsi="Arial" w:eastAsia="微软雅黑"/>
          <w:b w:val="0"/>
          <w:i w:val="0"/>
          <w:sz w:val="20"/>
        </w:rPr>
        <w:t>这两种立场在法律上存在不一致。税务后果根据哪一种立场生效而存在重大差异：</w:t>
      </w:r>
    </w:p>
    <w:p>
      <w:pPr>
        <w:pStyle w:val="ListBullet"/>
      </w:pPr>
      <w:r>
        <w:rPr>
          <w:rFonts w:ascii="Arial" w:hAnsi="Arial" w:eastAsia="微软雅黑"/>
          <w:sz w:val="20"/>
        </w:rPr>
        <w:t>立场A——设备归 aft苏州 所有。转让为 aft苏州 → aft新公司。账面基础如第 4.2 节所述；增值税和企业所得税分析如第 4.2 节和第 4.3 节所述。</w:t>
      </w:r>
    </w:p>
    <w:p>
      <w:pPr>
        <w:pStyle w:val="ListBullet"/>
      </w:pPr>
      <w:r>
        <w:rPr>
          <w:rFonts w:ascii="Arial" w:hAnsi="Arial" w:eastAsia="微软雅黑"/>
          <w:sz w:val="20"/>
        </w:rPr>
        <w:t>立场B——设备归 aft GmbH 所有。设备不能由 aft苏州 转让，因为 aft苏州 不拥有该设备。设备需要由 aft GmbH 出售给 aft新公司（一笔境外到境内的交易，涉及关税和进口增值税），或由 aft GmbH 以实物出资方式投入 aft新公司。税务处理存在重大差异。</w:t>
      </w:r>
    </w:p>
    <w:p>
      <w:r>
        <w:rPr>
          <w:rFonts w:ascii="Arial" w:hAnsi="Arial" w:eastAsia="微软雅黑"/>
          <w:b w:val="0"/>
          <w:i w:val="0"/>
          <w:sz w:val="20"/>
        </w:rPr>
        <w:t>建议。在内部记录中协调该不一致之处，更为关键的是，在提交给中国税务和海关当局的文件中予以协调。向当局呈现的立场将决定税务处理；如果《补充协议》与账簿之间的不一致在审计中被发现，将受到不利处理。</w:t>
      </w:r>
    </w:p>
    <w:p>
      <w:pPr>
        <w:pStyle w:val="Heading2"/>
      </w:pPr>
      <w:r>
        <w:rPr>
          <w:rFonts w:ascii="Arial" w:hAnsi="Arial" w:eastAsia="微软雅黑"/>
          <w:color w:val="003366"/>
        </w:rPr>
        <w:t>4.8 员工转让</w:t>
      </w:r>
    </w:p>
    <w:p>
      <w:r>
        <w:rPr>
          <w:rFonts w:ascii="Arial" w:hAnsi="Arial" w:eastAsia="微软雅黑"/>
          <w:b w:val="0"/>
          <w:i w:val="0"/>
          <w:sz w:val="20"/>
        </w:rPr>
        <w:t>汽车业务约全部劳动力将从 aft苏州（以及部分员工从 Creator Solutions (Suzhou) Co., Ltd.，根据《补充协议》第 1.9 条）转移至 aft新公司。</w:t>
      </w:r>
    </w:p>
    <w:p>
      <w:r>
        <w:rPr>
          <w:rFonts w:ascii="Arial" w:hAnsi="Arial" w:eastAsia="微软雅黑"/>
          <w:b w:val="0"/>
          <w:i w:val="0"/>
          <w:sz w:val="20"/>
        </w:rPr>
        <w:t>两种结构方案：</w:t>
      </w:r>
    </w:p>
    <w:p>
      <w:r>
        <w:rPr>
          <w:rFonts w:ascii="Arial" w:hAnsi="Arial" w:eastAsia="微软雅黑"/>
          <w:b w:val="0"/>
          <w:i w:val="0"/>
          <w:sz w:val="20"/>
        </w:rPr>
        <w:t>1. 三方协议（离职/重新聘用并保留工龄连续性）。员工从 aft苏州 离职，同日被 aft新公司 重新聘用，同时以书面三方协议保留工龄，以便计算遣散费及法定权益。转让不支付遣散费。税务中性：无个人所得税，不触发遣散费。</w:t>
      </w:r>
    </w:p>
    <w:p>
      <w:r>
        <w:rPr>
          <w:rFonts w:ascii="Arial" w:hAnsi="Arial" w:eastAsia="微软雅黑"/>
          <w:b w:val="0"/>
          <w:i w:val="0"/>
          <w:sz w:val="20"/>
        </w:rPr>
        <w:t>2. 离职并支付遣散费，随后独立新聘。遣散费由 aft苏州 支付；员工以新员工身份加入 aft新公司。遣散费可在 aft苏州 抵扣（有限额）；个人所得税适用于超过地方法定上限（一般为当地年平均工资的三倍）的遣散费部分，超过部分按财税[2018]第164号文规定的单独税率表计税。</w:t>
      </w:r>
    </w:p>
    <w:p>
      <w:r>
        <w:rPr>
          <w:rFonts w:ascii="Arial" w:hAnsi="Arial" w:eastAsia="微软雅黑"/>
          <w:b w:val="0"/>
          <w:i w:val="0"/>
          <w:sz w:val="20"/>
        </w:rPr>
        <w:t>建议：方案1。该方案：</w:t>
      </w:r>
    </w:p>
    <w:p>
      <w:pPr>
        <w:pStyle w:val="ListBullet"/>
      </w:pPr>
      <w:r>
        <w:rPr>
          <w:rFonts w:ascii="Arial" w:hAnsi="Arial" w:eastAsia="微软雅黑"/>
          <w:sz w:val="20"/>
        </w:rPr>
        <w:t>避免现金遣散费流出；</w:t>
      </w:r>
    </w:p>
    <w:p>
      <w:pPr>
        <w:pStyle w:val="ListBullet"/>
      </w:pPr>
      <w:r>
        <w:rPr>
          <w:rFonts w:ascii="Arial" w:hAnsi="Arial" w:eastAsia="微软雅黑"/>
          <w:sz w:val="20"/>
        </w:rPr>
        <w:t>避免员工的个人所得税风险；</w:t>
      </w:r>
    </w:p>
    <w:p>
      <w:pPr>
        <w:pStyle w:val="ListBullet"/>
      </w:pPr>
      <w:r>
        <w:rPr>
          <w:rFonts w:ascii="Arial" w:hAnsi="Arial" w:eastAsia="微软雅黑"/>
          <w:sz w:val="20"/>
        </w:rPr>
        <w:t>支持资产重组的增值税立场（劳动力连续性）；以及</w:t>
      </w:r>
    </w:p>
    <w:p>
      <w:pPr>
        <w:pStyle w:val="ListBullet"/>
      </w:pPr>
      <w:r>
        <w:rPr>
          <w:rFonts w:ascii="Arial" w:hAnsi="Arial" w:eastAsia="微软雅黑"/>
          <w:sz w:val="20"/>
        </w:rPr>
        <w:t>避免在 aft新公司 以"全新"为基础触发未来的遣散费负债。</w:t>
      </w:r>
    </w:p>
    <w:p>
      <w:r>
        <w:rPr>
          <w:rFonts w:ascii="Arial" w:hAnsi="Arial" w:eastAsia="微软雅黑"/>
          <w:b w:val="0"/>
          <w:i w:val="0"/>
          <w:sz w:val="20"/>
        </w:rPr>
        <w:t>在 aft新公司 重新办理社会保险登记属于行政事项，无税务成本。住房公积金缴存应不间断延续。</w:t>
      </w:r>
    </w:p>
    <w:p>
      <w:r>
        <w:rPr>
          <w:rFonts w:ascii="Arial" w:hAnsi="Arial" w:eastAsia="微软雅黑"/>
          <w:b w:val="0"/>
          <w:i w:val="0"/>
          <w:sz w:val="20"/>
        </w:rPr>
        <w:t>Creator 员工。《补充协议》第 1.9 条规定，在 Creator 薪资单上为 aft苏州 工作的员工可转移至 aft苏州 或 aft新公司，而不违反原股东协议的反挖角条款。从税务角度看，个人所得税和社会保险的处理取决于 Creator 的聘用是按劳务派遣还是直接雇佣进行的；需进一步获取信息。</w:t>
      </w:r>
    </w:p>
    <w:p>
      <w:pPr>
        <w:pStyle w:val="Heading2"/>
      </w:pPr>
      <w:r>
        <w:rPr>
          <w:rFonts w:ascii="Arial" w:hAnsi="Arial" w:eastAsia="微软雅黑"/>
          <w:color w:val="003366"/>
        </w:rPr>
        <w:t>4.9 应收款核销（"债务豁免"）</w:t>
      </w:r>
    </w:p>
    <w:p>
      <w:r>
        <w:rPr>
          <w:rFonts w:ascii="Arial" w:hAnsi="Arial" w:eastAsia="微软雅黑"/>
          <w:b w:val="0"/>
          <w:i w:val="0"/>
          <w:sz w:val="20"/>
        </w:rPr>
        <w:t>Karl Tang–Johannes Drepper 纪要（2025年11月25–26日）载明，aft GmbH 将核销其应收 aft苏州 的 12,115,291 元人民币应收款，作为债务豁免以平衡 aft苏州 转让后的财务状况。</w:t>
      </w:r>
    </w:p>
    <w:p>
      <w:r>
        <w:rPr>
          <w:rFonts w:ascii="Arial" w:hAnsi="Arial" w:eastAsia="微软雅黑"/>
          <w:b w:val="0"/>
          <w:i w:val="0"/>
          <w:sz w:val="20"/>
        </w:rPr>
        <w:t>税务处理取决于核销相对于股权转让的时间安排。适用两种场景：</w:t>
      </w:r>
    </w:p>
    <w:p>
      <w:r>
        <w:rPr>
          <w:rFonts w:ascii="Arial" w:hAnsi="Arial" w:eastAsia="微软雅黑"/>
          <w:b/>
          <w:i w:val="0"/>
          <w:sz w:val="20"/>
        </w:rPr>
        <w:t>场景1——核销在 16% 股权转让之前完成文件记录</w:t>
      </w:r>
    </w:p>
    <w:p>
      <w:r>
        <w:rPr>
          <w:rFonts w:ascii="Arial" w:hAnsi="Arial" w:eastAsia="微软雅黑"/>
          <w:b w:val="0"/>
          <w:i w:val="0"/>
          <w:sz w:val="20"/>
        </w:rPr>
        <w:t>当 aft GmbH 仍是 aft苏州 的控股股东（51%）时，关联方应付款的豁免在适当的事实和文件基础上可以定性为母公司的资本投入（在 aft苏州 的权益中确认为资本公积或盈余公积），而非收入。在这种定性下，aft苏州 不就该核销确认企业所得税，且 aft苏州 的累计税务亏损得以保留供未来使用。</w:t>
      </w:r>
    </w:p>
    <w:p>
      <w:r>
        <w:rPr>
          <w:rFonts w:ascii="Arial" w:hAnsi="Arial" w:eastAsia="微软雅黑"/>
          <w:b w:val="0"/>
          <w:i w:val="0"/>
          <w:sz w:val="20"/>
        </w:rPr>
        <w:t>为使该定性在税务机关审查中成立，证明文件必须一致反映交易的资本投入性质。这包括：</w:t>
      </w:r>
    </w:p>
    <w:p>
      <w:pPr>
        <w:pStyle w:val="ListBullet"/>
      </w:pPr>
      <w:r>
        <w:rPr>
          <w:rFonts w:ascii="Arial" w:hAnsi="Arial" w:eastAsia="微软雅黑"/>
          <w:sz w:val="20"/>
        </w:rPr>
        <w:t>一份以资本投入方式表述授权该交易的董事会决议和股东决议；</w:t>
      </w:r>
    </w:p>
    <w:p>
      <w:pPr>
        <w:pStyle w:val="ListBullet"/>
      </w:pPr>
      <w:r>
        <w:rPr>
          <w:rFonts w:ascii="Arial" w:hAnsi="Arial" w:eastAsia="微软雅黑"/>
          <w:sz w:val="20"/>
        </w:rPr>
        <w:t>aft GmbH 与 aft苏州 之间一份明确使用"资本投入"措辞的书面债务豁免/资本投入协议；</w:t>
      </w:r>
    </w:p>
    <w:p>
      <w:pPr>
        <w:pStyle w:val="ListBullet"/>
      </w:pPr>
      <w:r>
        <w:rPr>
          <w:rFonts w:ascii="Arial" w:hAnsi="Arial" w:eastAsia="微软雅黑"/>
          <w:sz w:val="20"/>
        </w:rPr>
        <w:t>与资本公积确认相一致的会计处理；</w:t>
      </w:r>
    </w:p>
    <w:p>
      <w:pPr>
        <w:pStyle w:val="ListBullet"/>
      </w:pPr>
      <w:r>
        <w:rPr>
          <w:rFonts w:ascii="Arial" w:hAnsi="Arial" w:eastAsia="微软雅黑"/>
          <w:sz w:val="20"/>
        </w:rPr>
        <w:t>保留原始应付款文件（例如底层材料进口发票），以证明被豁免债务的真实性；以及</w:t>
      </w:r>
    </w:p>
    <w:p>
      <w:pPr>
        <w:pStyle w:val="ListBullet"/>
      </w:pPr>
      <w:r>
        <w:rPr>
          <w:rFonts w:ascii="Arial" w:hAnsi="Arial" w:eastAsia="微软雅黑"/>
          <w:sz w:val="20"/>
        </w:rPr>
        <w:t>与主管税务官员进行预先沟通，说明实质内容，以避免在审计中被错误定性。</w:t>
      </w:r>
    </w:p>
    <w:p>
      <w:r>
        <w:rPr>
          <w:rFonts w:ascii="Arial" w:hAnsi="Arial" w:eastAsia="微软雅黑"/>
          <w:b w:val="0"/>
          <w:i w:val="0"/>
          <w:sz w:val="20"/>
        </w:rPr>
        <w:t>如果措辞不严谨或不一致，税务官员可能根据场景2将该交易重新定性为债务重组收益，产生追溯性的企业所得税后果。</w:t>
      </w:r>
    </w:p>
    <w:p>
      <w:r>
        <w:rPr>
          <w:rFonts w:ascii="Arial" w:hAnsi="Arial" w:eastAsia="微软雅黑"/>
          <w:b/>
          <w:i w:val="0"/>
          <w:sz w:val="20"/>
        </w:rPr>
        <w:t>场景2——核销在 16% 股权转让之后完成文件记录</w:t>
      </w:r>
    </w:p>
    <w:p>
      <w:r>
        <w:rPr>
          <w:rFonts w:ascii="Arial" w:hAnsi="Arial" w:eastAsia="微软雅黑"/>
          <w:b w:val="0"/>
          <w:i w:val="0"/>
          <w:sz w:val="20"/>
        </w:rPr>
        <w:t>一旦 aft GmbH 降为 35% 的少数股东地位，资本投入定性不再可用（少数股东不能做出与其持股比例不相称的资本投入，否则将被视为关联方之间的转让）。该豁免则必须根据中国企业所得税（《企业所得税法》第6条；《实施条例》第22条）在 aft苏州 确认为债务重组收益。这在豁免生效的年度是应税的。</w:t>
      </w:r>
    </w:p>
    <w:p>
      <w:r>
        <w:rPr>
          <w:rFonts w:ascii="Arial" w:hAnsi="Arial" w:eastAsia="微软雅黑"/>
          <w:b w:val="0"/>
          <w:i w:val="0"/>
          <w:sz w:val="20"/>
        </w:rPr>
        <w:t>在场景2下，aft苏州 的累计亏损可吸收该收入——但每使用一元亏损，就少了一元可用于抵扣未来租金收入的亏损。现金流企业所得税影响为零；但机会成本是真实存在的。</w:t>
      </w:r>
    </w:p>
    <w:p>
      <w:r>
        <w:rPr>
          <w:rFonts w:ascii="Arial" w:hAnsi="Arial" w:eastAsia="微软雅黑"/>
          <w:b w:val="0"/>
          <w:i w:val="0"/>
          <w:sz w:val="20"/>
        </w:rPr>
        <w:t>建议：如有可能，在 16% 股权转让之前完成应收款核销的文件记录，形式为明确的资本投入安排，并以上述文件为支撑。这保住了亏损余额供未来用于抵扣租金收入，并消除了债务重组收益确认的时间风险。</w:t>
      </w:r>
    </w:p>
    <w:p>
      <w:r>
        <w:rPr>
          <w:rFonts w:ascii="Arial" w:hAnsi="Arial" w:eastAsia="微软雅黑"/>
          <w:b w:val="0"/>
          <w:i w:val="0"/>
          <w:sz w:val="20"/>
        </w:rPr>
        <w:t>两种场景下，核销均不触发预提税：它不属于利息、股息或特许权使用费。不存在增值税影响（未提供货物或服务）。无条件的债务豁免协议不涉及印花税；如果双方协议涉及任何对等对价，则就该对价金额缴纳印花税。德国方面的后果不在本报告范围内。</w:t>
      </w:r>
    </w:p>
    <w:p>
      <w:pPr>
        <w:pStyle w:val="Heading2"/>
      </w:pPr>
      <w:r>
        <w:rPr>
          <w:rFonts w:ascii="Arial" w:hAnsi="Arial" w:eastAsia="微软雅黑"/>
          <w:color w:val="003366"/>
        </w:rPr>
        <w:t>4.10 外汇管理局申报与关联方支付流</w:t>
      </w:r>
    </w:p>
    <w:p>
      <w:r>
        <w:rPr>
          <w:rFonts w:ascii="Arial" w:hAnsi="Arial" w:eastAsia="微软雅黑"/>
          <w:b w:val="0"/>
          <w:i w:val="0"/>
          <w:sz w:val="20"/>
        </w:rPr>
        <w:t>除第 5.4 节讨论的向境外支付股权对价款外，重组还涉及三个具有国家外汇管理局（"外管局"）影响的关联方支付事项：</w:t>
      </w:r>
    </w:p>
    <w:p>
      <w:pPr>
        <w:pStyle w:val="ListBullet"/>
      </w:pPr>
      <w:r>
        <w:rPr>
          <w:rFonts w:ascii="Arial" w:hAnsi="Arial" w:eastAsia="微软雅黑"/>
          <w:sz w:val="20"/>
        </w:rPr>
        <w:t>应收款核销（12,115,291 元人民币）。无现金流动；无需办理对外支付登记。aft苏州 外债记录中相应的对外负债应在所在地外管局办理注销，双方的会计分录应体现第 4.9 节建议的资本投入定性。</w:t>
      </w:r>
    </w:p>
    <w:p>
      <w:pPr>
        <w:pStyle w:val="ListBullet"/>
      </w:pPr>
      <w:r>
        <w:rPr>
          <w:rFonts w:ascii="Arial" w:hAnsi="Arial" w:eastAsia="微软雅黑"/>
          <w:sz w:val="20"/>
        </w:rPr>
        <w:t>应付账款从 aft苏州 转移至 aft新公司。aft苏州 现有应付 aft GmbH 贸易款项的相当一部分作为资产包的一部分转移至 aft新公司。这是对外负债的中国债务人变更，须向外管局报告；aft苏州 办理注销，aft新公司 办理登记，与资产转让同步进行。通过相关银行的外汇柜台提交申报。</w:t>
      </w:r>
    </w:p>
    <w:p>
      <w:pPr>
        <w:pStyle w:val="ListBullet"/>
      </w:pPr>
      <w:r>
        <w:rPr>
          <w:rFonts w:ascii="Arial" w:hAnsi="Arial" w:eastAsia="微软雅黑"/>
          <w:sz w:val="20"/>
        </w:rPr>
        <w:t>aft苏州 的剩余应付账款。aft苏州 在重组后保留一项对 aft GmbH 的有条件的剩余应付账款（根据 2025年11月纪要）。未来清偿将需要外管局对外支付程序；条件还款条款应在基础合同文件中予以反映，以支持未来的汇款。</w:t>
      </w:r>
    </w:p>
    <w:p>
      <w:r>
        <w:rPr>
          <w:rFonts w:ascii="Arial" w:hAnsi="Arial" w:eastAsia="微软雅黑"/>
          <w:b w:val="0"/>
          <w:i w:val="0"/>
          <w:sz w:val="20"/>
        </w:rPr>
        <w:t>客户应尽早确认银行的具体程序要求。不同银行对外债重新登记的容忍度和文件要求存在差异。</w:t>
      </w:r>
    </w:p>
    <w:p>
      <w:r>
        <w:br w:type="page"/>
      </w:r>
    </w:p>
    <w:p>
      <w:pPr>
        <w:pStyle w:val="Heading1"/>
      </w:pPr>
      <w:r>
        <w:rPr>
          <w:rFonts w:ascii="Arial" w:hAnsi="Arial" w:eastAsia="微软雅黑"/>
          <w:color w:val="003366"/>
        </w:rPr>
        <w:t>5. 股权转让——税务分析</w:t>
      </w:r>
    </w:p>
    <w:p>
      <w:pPr>
        <w:pStyle w:val="Heading2"/>
      </w:pPr>
      <w:r>
        <w:rPr>
          <w:rFonts w:ascii="Arial" w:hAnsi="Arial" w:eastAsia="微软雅黑"/>
          <w:color w:val="003366"/>
        </w:rPr>
        <w:t>5.1 非居民企业就转让收益的企业所得税</w:t>
      </w:r>
    </w:p>
    <w:p>
      <w:r>
        <w:rPr>
          <w:rFonts w:ascii="Arial" w:hAnsi="Arial" w:eastAsia="微软雅黑"/>
          <w:b w:val="0"/>
          <w:i w:val="0"/>
          <w:sz w:val="20"/>
        </w:rPr>
        <w:t>根据《企业所得税法》（第3条和第19条）以及国税总局[2017]第37号公告，非居民企业从转让中国税务居民企业股权中实现的收益，须按 10% 的税率就收益缴纳预提税。收益等于收到的对价减去转让方的成本基础（历史资本出资额）。</w:t>
      </w:r>
    </w:p>
    <w:p>
      <w:r>
        <w:rPr>
          <w:rFonts w:ascii="Arial" w:hAnsi="Arial" w:eastAsia="微软雅黑"/>
          <w:b w:val="0"/>
          <w:i w:val="0"/>
          <w:sz w:val="20"/>
        </w:rPr>
        <w:t>约定对价 1,600,000 元人民币（《补充协议》第 1.3 条）约等于 aft苏州 实收资本的 16%。从《补充协议》表面来看，对价与 aft GmbH 按比例计算的历史成本基础相匹配，隐含收益——因而隐含预提税——约等于零。</w:t>
      </w:r>
    </w:p>
    <w:p>
      <w:pPr>
        <w:pStyle w:val="Heading2"/>
      </w:pPr>
      <w:r>
        <w:rPr>
          <w:rFonts w:ascii="Arial" w:hAnsi="Arial" w:eastAsia="微软雅黑"/>
          <w:color w:val="003366"/>
        </w:rPr>
        <w:t>5.2 估值与税务机关审查——主要风险</w:t>
      </w:r>
    </w:p>
    <w:p>
      <w:r>
        <w:rPr>
          <w:rFonts w:ascii="Arial" w:hAnsi="Arial" w:eastAsia="微软雅黑"/>
          <w:b w:val="0"/>
          <w:i w:val="0"/>
          <w:sz w:val="20"/>
        </w:rPr>
        <w:t>中国税务机关将股权交易作为独立事件进行审查，与任何周边重组分开处理。16% 的股权转让在税务上不会被视作资产转让包的一部分。如果被转让实体持有不动产——如 aft苏州 在重组后将以厂房及相关土地使用权——税务机关的审查通常会更加严格，因为不动产支撑的股权是低报转让价格的已知渠道。</w:t>
      </w:r>
    </w:p>
    <w:p>
      <w:r>
        <w:rPr>
          <w:rFonts w:ascii="Arial" w:hAnsi="Arial" w:eastAsia="微软雅黑"/>
          <w:b w:val="0"/>
          <w:i w:val="0"/>
          <w:sz w:val="20"/>
        </w:rPr>
        <w:t>相关指导文件包括国税总局[2014]第67号公告（主要针对个人转让，但分析原则同样适用于法人转让）和《企业所得税法》第47条的一般反避税规则。税务机关的参考基准是公允价值，而非账面净资产。重组后 aft苏州 的公允价值包含：</w:t>
      </w:r>
    </w:p>
    <w:p>
      <w:pPr>
        <w:pStyle w:val="ListBullet"/>
      </w:pPr>
      <w:r>
        <w:rPr>
          <w:rFonts w:ascii="Arial" w:hAnsi="Arial" w:eastAsia="微软雅黑"/>
          <w:sz w:val="20"/>
        </w:rPr>
        <w:t>厂房（一个已竣工并出租的工业厂房的市场价值通常会超过折旧后的账面价值）；</w:t>
      </w:r>
    </w:p>
    <w:p>
      <w:pPr>
        <w:pStyle w:val="ListBullet"/>
      </w:pPr>
      <w:r>
        <w:rPr>
          <w:rFonts w:ascii="Arial" w:hAnsi="Arial" w:eastAsia="微软雅黑"/>
          <w:sz w:val="20"/>
        </w:rPr>
        <w:t>预期从新公司按公允市场租金取得的租赁收入流；扣除：</w:t>
      </w:r>
    </w:p>
    <w:p>
      <w:pPr>
        <w:pStyle w:val="ListBullet"/>
      </w:pPr>
      <w:r>
        <w:rPr>
          <w:rFonts w:ascii="Arial" w:hAnsi="Arial" w:eastAsia="微软雅黑"/>
          <w:sz w:val="20"/>
        </w:rPr>
        <w:t>建设贷款、剩余建设工程应付款，以及应付 aft GmbH 的剩余应付款。</w:t>
      </w:r>
    </w:p>
    <w:p>
      <w:r>
        <w:rPr>
          <w:rFonts w:ascii="Arial" w:hAnsi="Arial" w:eastAsia="微软雅黑"/>
          <w:b w:val="0"/>
          <w:i w:val="0"/>
          <w:sz w:val="20"/>
        </w:rPr>
        <w:t>根据竣工厂房价值和租赁收益率假设，一旦厂房投入运营，aft苏州 100% 的公允价值可能为重大正值。16% 的 1,600,000 元人民币价格届时是否具有可辩护性取决于这些假设。风险是具体的：主管税务机关可能评估更高的公允价值，并就此差额计征 10% 的预提税。</w:t>
      </w:r>
    </w:p>
    <w:p>
      <w:r>
        <w:rPr>
          <w:rFonts w:ascii="Arial" w:hAnsi="Arial" w:eastAsia="微软雅黑"/>
          <w:b w:val="0"/>
          <w:i w:val="0"/>
          <w:sz w:val="20"/>
        </w:rPr>
        <w:t>低价转让的有限合理理由。根据国税总局[2014]第67号公告，只有四类情形可以证明以显著低于公允价值的价格转让是合理的：</w:t>
      </w:r>
    </w:p>
    <w:p>
      <w:pPr>
        <w:pStyle w:val="ListBullet"/>
      </w:pPr>
      <w:r>
        <w:rPr>
          <w:rFonts w:ascii="Arial" w:hAnsi="Arial" w:eastAsia="微软雅黑"/>
          <w:sz w:val="20"/>
        </w:rPr>
        <w:t>国家政策调整对被投资企业业务产生重大影响，并有有效的书面证据支持；</w:t>
      </w:r>
    </w:p>
    <w:p>
      <w:pPr>
        <w:pStyle w:val="ListBullet"/>
      </w:pPr>
      <w:r>
        <w:rPr>
          <w:rFonts w:ascii="Arial" w:hAnsi="Arial" w:eastAsia="微软雅黑"/>
          <w:sz w:val="20"/>
        </w:rPr>
        <w:t>因继承或将股权转让给指定的近亲属，并有有效的亲属关系证明支持；</w:t>
      </w:r>
    </w:p>
    <w:p>
      <w:pPr>
        <w:pStyle w:val="ListBullet"/>
      </w:pPr>
      <w:r>
        <w:rPr>
          <w:rFonts w:ascii="Arial" w:hAnsi="Arial" w:eastAsia="微软雅黑"/>
          <w:sz w:val="20"/>
        </w:rPr>
        <w:t>员工股权的内部转让，且向外部人转让受到法律、政府文件或公司章程的限制，并有证明材料；或</w:t>
      </w:r>
    </w:p>
    <w:p>
      <w:pPr>
        <w:pStyle w:val="ListBullet"/>
      </w:pPr>
      <w:r>
        <w:rPr>
          <w:rFonts w:ascii="Arial" w:hAnsi="Arial" w:eastAsia="微软雅黑"/>
          <w:sz w:val="20"/>
        </w:rPr>
        <w:t>其他合理情形，并有有效证据证明价格的合理性。</w:t>
      </w:r>
    </w:p>
    <w:p>
      <w:r>
        <w:rPr>
          <w:rFonts w:ascii="Arial" w:hAnsi="Arial" w:eastAsia="微软雅黑"/>
          <w:b w:val="0"/>
          <w:i w:val="0"/>
          <w:sz w:val="20"/>
        </w:rPr>
        <w:t>上述(1)至(3)项在此均不适用，第(4)类在实践中被狭义解释。aft苏州 账面净资产为零或为负的论点不太可能符合第(4)类下的"合理情形"，尤其是在有不动产支撑的背景下。对价需要有实质性的公允价值证据支撑——而非仅凭 1,600,000 元人民币与实收资本 16% 的匹配关系。</w:t>
      </w:r>
    </w:p>
    <w:p>
      <w:r>
        <w:rPr>
          <w:rFonts w:ascii="Arial" w:hAnsi="Arial" w:eastAsia="微软雅黑"/>
          <w:b w:val="0"/>
          <w:i w:val="0"/>
          <w:sz w:val="20"/>
        </w:rPr>
        <w:t>缓解措施：</w:t>
      </w:r>
    </w:p>
    <w:p>
      <w:pPr>
        <w:pStyle w:val="ListBullet"/>
      </w:pPr>
      <w:r>
        <w:rPr>
          <w:rFonts w:ascii="Arial" w:hAnsi="Arial" w:eastAsia="微软雅黑"/>
          <w:sz w:val="20"/>
        </w:rPr>
        <w:t>独立评估。由一家中国认可的评估机构以转让基准日为准对 aft苏州 100% 股权进行估值，并记录 16% 按比例对应的价值。以同一估值作为对价基础；如果估值支持更高的数字，双方应考虑修订价格，或做好就差额支付预提税的准备。</w:t>
      </w:r>
    </w:p>
    <w:p>
      <w:pPr>
        <w:pStyle w:val="ListBullet"/>
      </w:pPr>
      <w:r>
        <w:rPr>
          <w:rFonts w:ascii="Arial" w:hAnsi="Arial" w:eastAsia="微软雅黑"/>
          <w:sz w:val="20"/>
        </w:rPr>
        <w:t>预先申报沟通。与主管税务机关进行非正式的事先沟通，可在 7 天申报截止期限前降低风险。</w:t>
      </w:r>
    </w:p>
    <w:p>
      <w:pPr>
        <w:pStyle w:val="ListBullet"/>
      </w:pPr>
      <w:r>
        <w:rPr>
          <w:rFonts w:ascii="Arial" w:hAnsi="Arial" w:eastAsia="微软雅黑"/>
          <w:sz w:val="20"/>
        </w:rPr>
        <w:t>文件记录。按账面价值转让是税务机关会审查的典型模式。抗辩依赖于实质性公允价值支撑。</w:t>
      </w:r>
    </w:p>
    <w:p>
      <w:pPr>
        <w:pStyle w:val="Heading2"/>
      </w:pPr>
      <w:r>
        <w:rPr>
          <w:rFonts w:ascii="Arial" w:hAnsi="Arial" w:eastAsia="微软雅黑"/>
          <w:color w:val="003366"/>
        </w:rPr>
        <w:t>5.3 中德税收协定：减免不可用</w:t>
      </w:r>
    </w:p>
    <w:p>
      <w:r>
        <w:rPr>
          <w:rFonts w:ascii="Arial" w:hAnsi="Arial" w:eastAsia="微软雅黑"/>
          <w:b w:val="0"/>
          <w:i w:val="0"/>
          <w:sz w:val="20"/>
        </w:rPr>
        <w:t>根据中德双重征税协定，第13条第5款允许中国对转让中国公司股份的收益征税，前提是转让方在转让前十二个月内的任何时间直接或间接持有至少 25% 的资本。aft GmbH 转让前持股为 51%，远高于上述门槛。</w:t>
      </w:r>
    </w:p>
    <w:p>
      <w:r>
        <w:rPr>
          <w:rFonts w:ascii="Arial" w:hAnsi="Arial" w:eastAsia="微软雅黑"/>
          <w:b w:val="0"/>
          <w:i w:val="0"/>
          <w:sz w:val="20"/>
        </w:rPr>
        <w:t>因此，中国保留其国内征税权；协定减免不可用。aft GmbH 仍应：</w:t>
      </w:r>
    </w:p>
    <w:p>
      <w:pPr>
        <w:pStyle w:val="ListBullet"/>
      </w:pPr>
      <w:r>
        <w:rPr>
          <w:rFonts w:ascii="Arial" w:hAnsi="Arial" w:eastAsia="微软雅黑"/>
          <w:sz w:val="20"/>
        </w:rPr>
        <w:t>获取并持有相关期间的德国税务居民身份证明；以及</w:t>
      </w:r>
    </w:p>
    <w:p>
      <w:pPr>
        <w:pStyle w:val="ListBullet"/>
      </w:pPr>
      <w:r>
        <w:rPr>
          <w:rFonts w:ascii="Arial" w:hAnsi="Arial" w:eastAsia="微软雅黑"/>
          <w:sz w:val="20"/>
        </w:rPr>
        <w:t>将协定立场与 10% 预提税申报一并提交——即使协定减免被否定也要保证程序的完整性。</w:t>
      </w:r>
    </w:p>
    <w:p>
      <w:pPr>
        <w:pStyle w:val="Heading2"/>
      </w:pPr>
      <w:r>
        <w:rPr>
          <w:rFonts w:ascii="Arial" w:hAnsi="Arial" w:eastAsia="微软雅黑"/>
          <w:color w:val="003366"/>
        </w:rPr>
        <w:t>5.4 预提税操作机制及第1.3条的赔偿条款</w:t>
      </w:r>
    </w:p>
    <w:p>
      <w:r>
        <w:rPr>
          <w:rFonts w:ascii="Arial" w:hAnsi="Arial" w:eastAsia="微软雅黑"/>
          <w:b w:val="0"/>
          <w:i w:val="0"/>
          <w:sz w:val="20"/>
        </w:rPr>
        <w:t>由于交易产生预提企业所得税，该税种适用于本交易。《补充协议》也已包含此项。流程如下：</w:t>
      </w:r>
    </w:p>
    <w:p>
      <w:pPr>
        <w:pStyle w:val="ListBullet"/>
      </w:pPr>
      <w:r>
        <w:rPr>
          <w:rFonts w:ascii="Arial" w:hAnsi="Arial" w:eastAsia="微软雅黑"/>
          <w:sz w:val="20"/>
        </w:rPr>
        <w:t>法定扣缴义务人：根据《企业所得税法》第37条和国税总局[2017]第37号公告，科泰（作为买方）是非居民企业收益的法定扣缴义务人。科泰必须在对价应付予 aft GmbH 之日起七日内扣缴并解缴 10% 的预提税。</w:t>
      </w:r>
    </w:p>
    <w:p>
      <w:pPr>
        <w:pStyle w:val="ListBullet"/>
      </w:pPr>
      <w:r>
        <w:rPr>
          <w:rFonts w:ascii="Arial" w:hAnsi="Arial" w:eastAsia="微软雅黑"/>
          <w:sz w:val="20"/>
        </w:rPr>
        <w:t>默认机制。如果科泰未能扣缴，纳税的主要责任仍在 aft GmbH；主管税务机关也可对科泰作出扣缴义务人税务处理决定。</w:t>
      </w:r>
    </w:p>
    <w:p>
      <w:pPr>
        <w:pStyle w:val="ListBullet"/>
      </w:pPr>
      <w:r>
        <w:rPr>
          <w:rFonts w:ascii="Arial" w:hAnsi="Arial" w:eastAsia="微软雅黑"/>
          <w:sz w:val="20"/>
        </w:rPr>
        <w:t>申报：科泰向主管税务机关（aft苏州 的税务登记机关）提交《非居民企业所得税扣缴报告表》。</w:t>
      </w:r>
    </w:p>
    <w:p>
      <w:pPr>
        <w:pStyle w:val="ListBullet"/>
      </w:pPr>
      <w:r>
        <w:rPr>
          <w:rFonts w:ascii="Arial" w:hAnsi="Arial" w:eastAsia="微软雅黑"/>
          <w:sz w:val="20"/>
        </w:rPr>
        <w:t>银行文件：向 aft GmbH 支付 160 万元人民币的跨境支付需要收款银行核实完税证明。银行通常要求提供税款缴纳凭证或无纳税义务声明才能办理汇款。</w:t>
      </w:r>
    </w:p>
    <w:p>
      <w:r>
        <w:rPr>
          <w:rFonts w:ascii="Arial" w:hAnsi="Arial" w:eastAsia="微软雅黑"/>
          <w:b/>
          <w:i w:val="0"/>
          <w:sz w:val="20"/>
        </w:rPr>
        <w:t>《补充协议》第 1.3 条的赔偿条款</w:t>
      </w:r>
    </w:p>
    <w:p>
      <w:r>
        <w:rPr>
          <w:rFonts w:ascii="Arial" w:hAnsi="Arial" w:eastAsia="微软雅黑"/>
          <w:b w:val="0"/>
          <w:i w:val="0"/>
          <w:sz w:val="20"/>
        </w:rPr>
        <w:t>"本协议项下股权转让的企业所得税（如有）应由科泰承担。" 这是当事人之间的合同约定分配；不改变法定立场（aft GmbH 是纳税人，科泰是扣缴义务人）。</w:t>
      </w:r>
    </w:p>
    <w:p>
      <w:r>
        <w:rPr>
          <w:rFonts w:ascii="Arial" w:hAnsi="Arial" w:eastAsia="微软雅黑"/>
          <w:b/>
          <w:i w:val="0"/>
          <w:sz w:val="20"/>
        </w:rPr>
        <w:t>结构要点</w:t>
      </w:r>
    </w:p>
    <w:p>
      <w:r>
        <w:rPr>
          <w:rFonts w:ascii="Arial" w:hAnsi="Arial" w:eastAsia="微软雅黑"/>
          <w:b w:val="0"/>
          <w:i w:val="0"/>
          <w:sz w:val="20"/>
        </w:rPr>
        <w:t>160 万元人民币是总额对价（科泰扣缴后净额汇给 aft GmbH，然后以第 1.3 条赔偿人身份从自身收回税款），还是净额对价（科泰支付 160 万元人民币给 aft GmbH 并另行承担税款），需要在双方之间以书面形式明确。如果是后者，预提税计税基础将根据国税总局[2017]第37号公告第7条进行加总还原。</w:t>
      </w:r>
    </w:p>
    <w:p>
      <w:r>
        <w:rPr>
          <w:rFonts w:ascii="Arial" w:hAnsi="Arial" w:eastAsia="微软雅黑"/>
          <w:b w:val="0"/>
          <w:i w:val="0"/>
          <w:sz w:val="20"/>
        </w:rPr>
        <w:t>鉴于指示性收益约等于零，除非税务机关按公允价值评估，否则加总还原的实际影响有限。如果税务机关评估，例如，16% 股权的公允价值为 400 万元人民币，评估收益为 240 万元人民币，预提税为 240,000 元人民币——此时谁在经济上承担该税款的问题就变得相关了。</w:t>
      </w:r>
    </w:p>
    <w:p>
      <w:r>
        <w:rPr>
          <w:rFonts w:ascii="Arial" w:hAnsi="Arial" w:eastAsia="微软雅黑"/>
          <w:b/>
          <w:i w:val="0"/>
          <w:sz w:val="20"/>
        </w:rPr>
        <w:t>建议：</w:t>
      </w:r>
    </w:p>
    <w:p>
      <w:r>
        <w:rPr>
          <w:rFonts w:ascii="Arial" w:hAnsi="Arial" w:eastAsia="微软雅黑"/>
          <w:b w:val="0"/>
          <w:i w:val="0"/>
          <w:sz w:val="20"/>
        </w:rPr>
        <w:t>在付款前以补充函确认第 1.3 条将如何实施。补充函应明确涵盖不仅基础预提税，还包括任何滞纳金、罚款，以及税务机关按公允价值评估时产生的任何额外税款。如果没有这一范围界定，税务机关的评估可能引发一项双方未以书面形式分配的无限额风险——这可能影响交割后的商业关系。</w:t>
      </w:r>
    </w:p>
    <w:p>
      <w:pPr>
        <w:pStyle w:val="Heading2"/>
      </w:pPr>
      <w:r>
        <w:rPr>
          <w:rFonts w:ascii="Arial" w:hAnsi="Arial" w:eastAsia="微软雅黑"/>
          <w:color w:val="003366"/>
        </w:rPr>
        <w:t>5.5 印花税</w:t>
      </w:r>
    </w:p>
    <w:p>
      <w:r>
        <w:rPr>
          <w:rFonts w:ascii="Arial" w:hAnsi="Arial" w:eastAsia="微软雅黑"/>
          <w:b w:val="0"/>
          <w:i w:val="0"/>
          <w:sz w:val="20"/>
        </w:rPr>
        <w:t>产权转移书据；对价的 0.05%，由双方各自缴纳。以 1,600,000 元人民币计，每方 800 元人民币。</w:t>
      </w:r>
    </w:p>
    <w:p>
      <w:pPr>
        <w:pStyle w:val="Heading2"/>
      </w:pPr>
      <w:r>
        <w:rPr>
          <w:rFonts w:ascii="Arial" w:hAnsi="Arial" w:eastAsia="微软雅黑"/>
          <w:color w:val="003366"/>
        </w:rPr>
        <w:t>5.6 特殊税务重组减免——资格条件</w:t>
      </w:r>
    </w:p>
    <w:p>
      <w:r>
        <w:rPr>
          <w:rFonts w:ascii="Arial" w:hAnsi="Arial" w:eastAsia="微软雅黑"/>
          <w:b w:val="0"/>
          <w:i w:val="0"/>
          <w:sz w:val="20"/>
        </w:rPr>
        <w:t>财税[2009]第59号文规定了在满足规定条件时适用特殊税务处理（计税基础延续、收益递延以及部分税务亏损可迁移至派生实体）的制度。资格认定制度现已通过年度企业所得税申报进行操作，而非通过事前书面申报。</w:t>
      </w:r>
    </w:p>
    <w:p>
      <w:r>
        <w:rPr>
          <w:rFonts w:ascii="Arial" w:hAnsi="Arial" w:eastAsia="微软雅黑"/>
          <w:b/>
          <w:i w:val="0"/>
          <w:sz w:val="20"/>
        </w:rPr>
        <w:t>适用于本交易的条件分析：</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Arial" w:hAnsi="Arial" w:eastAsia="微软雅黑"/>
                <w:b/>
                <w:sz w:val="16"/>
              </w:rPr>
              <w:t>条件</w:t>
            </w:r>
          </w:p>
        </w:tc>
        <w:tc>
          <w:tcPr>
            <w:tcW w:type="dxa" w:w="3120"/>
          </w:tcPr>
          <w:p>
            <w:r/>
            <w:r>
              <w:rPr>
                <w:rFonts w:ascii="Arial" w:hAnsi="Arial" w:eastAsia="微软雅黑"/>
                <w:b/>
                <w:sz w:val="16"/>
              </w:rPr>
              <w:t>在此的适用情况</w:t>
            </w:r>
          </w:p>
        </w:tc>
        <w:tc>
          <w:tcPr>
            <w:tcW w:type="dxa" w:w="3120"/>
          </w:tcPr>
          <w:p>
            <w:r/>
            <w:r>
              <w:rPr>
                <w:rFonts w:ascii="Arial" w:hAnsi="Arial" w:eastAsia="微软雅黑"/>
                <w:b/>
                <w:sz w:val="16"/>
              </w:rPr>
              <w:t>结论</w:t>
            </w:r>
          </w:p>
        </w:tc>
      </w:tr>
      <w:tr>
        <w:tc>
          <w:tcPr>
            <w:tcW w:type="dxa" w:w="3120"/>
          </w:tcPr>
          <w:p>
            <w:r/>
            <w:r>
              <w:rPr>
                <w:rFonts w:ascii="Arial" w:hAnsi="Arial" w:eastAsia="微软雅黑"/>
                <w:b w:val="0"/>
                <w:sz w:val="16"/>
              </w:rPr>
              <w:t>被分立企业的股东按原始比例取得分立企业的股权</w:t>
            </w:r>
          </w:p>
        </w:tc>
        <w:tc>
          <w:tcPr>
            <w:tcW w:type="dxa" w:w="3120"/>
          </w:tcPr>
          <w:p>
            <w:r/>
            <w:r>
              <w:rPr>
                <w:rFonts w:ascii="Arial" w:hAnsi="Arial" w:eastAsia="微软雅黑"/>
                <w:b w:val="0"/>
                <w:sz w:val="16"/>
              </w:rPr>
              <w:t>新公司为 65/35；aft苏州 原为 51/49</w:t>
            </w:r>
          </w:p>
        </w:tc>
        <w:tc>
          <w:tcPr>
            <w:tcW w:type="dxa" w:w="3120"/>
          </w:tcPr>
          <w:p>
            <w:r/>
            <w:r>
              <w:rPr>
                <w:rFonts w:ascii="Arial" w:hAnsi="Arial" w:eastAsia="微软雅黑"/>
                <w:b w:val="0"/>
                <w:sz w:val="16"/>
              </w:rPr>
              <w:t>不满足</w:t>
            </w:r>
          </w:p>
        </w:tc>
      </w:tr>
      <w:tr>
        <w:tc>
          <w:tcPr>
            <w:tcW w:type="dxa" w:w="3120"/>
          </w:tcPr>
          <w:p>
            <w:r/>
            <w:r>
              <w:rPr>
                <w:rFonts w:ascii="Arial" w:hAnsi="Arial" w:eastAsia="微软雅黑"/>
                <w:b w:val="0"/>
                <w:sz w:val="16"/>
              </w:rPr>
              <w:t>具有合理商业目的，不以避税为主要目的</w:t>
            </w:r>
          </w:p>
        </w:tc>
        <w:tc>
          <w:tcPr>
            <w:tcW w:type="dxa" w:w="3120"/>
          </w:tcPr>
          <w:p>
            <w:r/>
            <w:r>
              <w:rPr>
                <w:rFonts w:ascii="Arial" w:hAnsi="Arial" w:eastAsia="微软雅黑"/>
                <w:b w:val="0"/>
                <w:sz w:val="16"/>
              </w:rPr>
              <w:t>实质性商业重新定位（将厂房与运营业务分离；所有权重新平衡）</w:t>
            </w:r>
          </w:p>
        </w:tc>
        <w:tc>
          <w:tcPr>
            <w:tcW w:type="dxa" w:w="3120"/>
          </w:tcPr>
          <w:p>
            <w:r/>
            <w:r>
              <w:rPr>
                <w:rFonts w:ascii="Arial" w:hAnsi="Arial" w:eastAsia="微软雅黑"/>
                <w:b w:val="0"/>
                <w:sz w:val="16"/>
              </w:rPr>
              <w:t>可能满足</w:t>
            </w:r>
          </w:p>
        </w:tc>
      </w:tr>
      <w:tr>
        <w:tc>
          <w:tcPr>
            <w:tcW w:type="dxa" w:w="3120"/>
          </w:tcPr>
          <w:p>
            <w:r/>
            <w:r>
              <w:rPr>
                <w:rFonts w:ascii="Arial" w:hAnsi="Arial" w:eastAsia="微软雅黑"/>
                <w:b w:val="0"/>
                <w:sz w:val="16"/>
              </w:rPr>
              <w:t>转让资产或股权的比例 ≥ 总资产或净资产的 50%</w:t>
            </w:r>
          </w:p>
        </w:tc>
        <w:tc>
          <w:tcPr>
            <w:tcW w:type="dxa" w:w="3120"/>
          </w:tcPr>
          <w:p>
            <w:r/>
            <w:r>
              <w:rPr>
                <w:rFonts w:ascii="Arial" w:hAnsi="Arial" w:eastAsia="微软雅黑"/>
                <w:b w:val="0"/>
                <w:sz w:val="16"/>
              </w:rPr>
              <w:t>汽车零部件业务构成 aft苏州 运营的绝大部分</w:t>
            </w:r>
          </w:p>
        </w:tc>
        <w:tc>
          <w:tcPr>
            <w:tcW w:type="dxa" w:w="3120"/>
          </w:tcPr>
          <w:p>
            <w:r/>
            <w:r>
              <w:rPr>
                <w:rFonts w:ascii="Arial" w:hAnsi="Arial" w:eastAsia="微软雅黑"/>
                <w:b w:val="0"/>
                <w:sz w:val="16"/>
              </w:rPr>
              <w:t>可能不满足</w:t>
            </w:r>
          </w:p>
        </w:tc>
      </w:tr>
      <w:tr>
        <w:tc>
          <w:tcPr>
            <w:tcW w:type="dxa" w:w="3120"/>
          </w:tcPr>
          <w:p>
            <w:r/>
            <w:r>
              <w:rPr>
                <w:rFonts w:ascii="Arial" w:hAnsi="Arial" w:eastAsia="微软雅黑"/>
                <w:b w:val="0"/>
                <w:sz w:val="16"/>
              </w:rPr>
              <w:t>业务连续性 ≥ 12个月</w:t>
            </w:r>
          </w:p>
        </w:tc>
        <w:tc>
          <w:tcPr>
            <w:tcW w:type="dxa" w:w="3120"/>
          </w:tcPr>
          <w:p>
            <w:r/>
            <w:r>
              <w:rPr>
                <w:rFonts w:ascii="Arial" w:hAnsi="Arial" w:eastAsia="微软雅黑"/>
                <w:b w:val="0"/>
                <w:sz w:val="16"/>
              </w:rPr>
              <w:t>业务在 aft新公司 以相同劳动力、客户、运营继续</w:t>
            </w:r>
          </w:p>
        </w:tc>
        <w:tc>
          <w:tcPr>
            <w:tcW w:type="dxa" w:w="3120"/>
          </w:tcPr>
          <w:p>
            <w:r/>
            <w:r>
              <w:rPr>
                <w:rFonts w:ascii="Arial" w:hAnsi="Arial" w:eastAsia="微软雅黑"/>
                <w:b w:val="0"/>
                <w:sz w:val="16"/>
              </w:rPr>
              <w:t>可能满足</w:t>
            </w:r>
          </w:p>
        </w:tc>
      </w:tr>
      <w:tr>
        <w:tc>
          <w:tcPr>
            <w:tcW w:type="dxa" w:w="3120"/>
          </w:tcPr>
          <w:p>
            <w:r/>
            <w:r>
              <w:rPr>
                <w:rFonts w:ascii="Arial" w:hAnsi="Arial" w:eastAsia="微软雅黑"/>
                <w:b w:val="0"/>
                <w:sz w:val="16"/>
              </w:rPr>
              <w:t>股东结构在 ≥ 12个月内不变</w:t>
            </w:r>
          </w:p>
        </w:tc>
        <w:tc>
          <w:tcPr>
            <w:tcW w:type="dxa" w:w="3120"/>
          </w:tcPr>
          <w:p>
            <w:r/>
            <w:r>
              <w:rPr>
                <w:rFonts w:ascii="Arial" w:hAnsi="Arial" w:eastAsia="微软雅黑"/>
                <w:b w:val="0"/>
                <w:sz w:val="16"/>
              </w:rPr>
              <w:t>同时进行的 16% 股权转让直接违反了这一要求</w:t>
            </w:r>
          </w:p>
        </w:tc>
        <w:tc>
          <w:tcPr>
            <w:tcW w:type="dxa" w:w="3120"/>
          </w:tcPr>
          <w:p>
            <w:r/>
            <w:r>
              <w:rPr>
                <w:rFonts w:ascii="Arial" w:hAnsi="Arial" w:eastAsia="微软雅黑"/>
                <w:b w:val="0"/>
                <w:sz w:val="16"/>
              </w:rPr>
              <w:t>不满足</w:t>
            </w:r>
          </w:p>
        </w:tc>
      </w:tr>
      <w:tr>
        <w:tc>
          <w:tcPr>
            <w:tcW w:type="dxa" w:w="3120"/>
          </w:tcPr>
          <w:p>
            <w:r/>
            <w:r>
              <w:rPr>
                <w:rFonts w:ascii="Arial" w:hAnsi="Arial" w:eastAsia="微软雅黑"/>
                <w:b w:val="0"/>
                <w:sz w:val="16"/>
              </w:rPr>
              <w:t>股权支付对价 ≥ 85%</w:t>
            </w:r>
          </w:p>
        </w:tc>
        <w:tc>
          <w:tcPr>
            <w:tcW w:type="dxa" w:w="3120"/>
          </w:tcPr>
          <w:p>
            <w:r/>
            <w:r>
              <w:rPr>
                <w:rFonts w:ascii="Arial" w:hAnsi="Arial" w:eastAsia="微软雅黑"/>
                <w:b w:val="0"/>
                <w:sz w:val="16"/>
              </w:rPr>
              <w:t>股权认购与承担相关应付款的混合</w:t>
            </w:r>
          </w:p>
        </w:tc>
        <w:tc>
          <w:tcPr>
            <w:tcW w:type="dxa" w:w="3120"/>
          </w:tcPr>
          <w:p>
            <w:r/>
            <w:r>
              <w:rPr>
                <w:rFonts w:ascii="Arial" w:hAnsi="Arial" w:eastAsia="微软雅黑"/>
                <w:b w:val="0"/>
                <w:sz w:val="16"/>
              </w:rPr>
              <w:t>可能不满足</w:t>
            </w:r>
          </w:p>
        </w:tc>
      </w:tr>
    </w:tbl>
    <w:p>
      <w:r>
        <w:rPr>
          <w:rFonts w:ascii="Arial" w:hAnsi="Arial" w:eastAsia="微软雅黑"/>
          <w:b w:val="0"/>
          <w:i w:val="0"/>
          <w:sz w:val="20"/>
        </w:rPr>
      </w:r>
    </w:p>
    <w:p>
      <w:r>
        <w:rPr>
          <w:rFonts w:ascii="Arial" w:hAnsi="Arial" w:eastAsia="微软雅黑"/>
          <w:b w:val="0"/>
          <w:i w:val="0"/>
          <w:sz w:val="20"/>
        </w:rPr>
        <w:t>就分立型重组而言，门槛条件是被分立企业的股东必须按照其原持股比例取得分立企业的股权。适用于此：</w:t>
      </w:r>
    </w:p>
    <w:p>
      <w:pPr>
        <w:pStyle w:val="ListBullet"/>
      </w:pPr>
      <w:r>
        <w:rPr>
          <w:rFonts w:ascii="Arial" w:hAnsi="Arial" w:eastAsia="微软雅黑"/>
          <w:sz w:val="20"/>
        </w:rPr>
        <w:t>重组前 aft苏州：aft GmbH 51% / 科泰 49%。</w:t>
      </w:r>
    </w:p>
    <w:p>
      <w:pPr>
        <w:pStyle w:val="ListBullet"/>
      </w:pPr>
      <w:r>
        <w:rPr>
          <w:rFonts w:ascii="Arial" w:hAnsi="Arial" w:eastAsia="微软雅黑"/>
          <w:sz w:val="20"/>
        </w:rPr>
        <w:t>aft新公司：aft GmbH 65% / 科泰 35%。</w:t>
      </w:r>
    </w:p>
    <w:p>
      <w:r>
        <w:rPr>
          <w:rFonts w:ascii="Arial" w:hAnsi="Arial" w:eastAsia="微软雅黑"/>
          <w:b w:val="0"/>
          <w:i w:val="0"/>
          <w:sz w:val="20"/>
        </w:rPr>
        <w:t>aft新公司 的持股比例与 aft苏州 重组前的持股比例不一致。仅此一项就使该交易不符合分立型特殊税务处理的条件，甚至在审查其他条件之前即已如此。</w:t>
      </w:r>
    </w:p>
    <w:p>
      <w:r>
        <w:rPr>
          <w:rFonts w:ascii="Arial" w:hAnsi="Arial" w:eastAsia="微软雅黑"/>
          <w:b w:val="0"/>
          <w:i w:val="0"/>
          <w:sz w:val="20"/>
        </w:rPr>
        <w:t>结论：特殊税务处理不适用，主要原因是 12 个月股东不变的要求在设计中即被违反。此外，资产比例和不得处置规则等进一步条件也使特殊处理丧失资格。</w:t>
      </w:r>
    </w:p>
    <w:p>
      <w:r>
        <w:rPr>
          <w:rFonts w:ascii="Arial" w:hAnsi="Arial" w:eastAsia="微软雅黑"/>
          <w:b w:val="0"/>
          <w:i w:val="0"/>
          <w:sz w:val="20"/>
        </w:rPr>
        <w:t>影响：</w:t>
      </w:r>
    </w:p>
    <w:p>
      <w:pPr>
        <w:pStyle w:val="ListBullet"/>
      </w:pPr>
      <w:r>
        <w:rPr>
          <w:rFonts w:ascii="Arial" w:hAnsi="Arial" w:eastAsia="微软雅黑"/>
          <w:sz w:val="20"/>
        </w:rPr>
        <w:t>资产转让适用一般税务处理（第4节）。</w:t>
      </w:r>
    </w:p>
    <w:p>
      <w:pPr>
        <w:pStyle w:val="ListBullet"/>
      </w:pPr>
      <w:r>
        <w:rPr>
          <w:rFonts w:ascii="Arial" w:hAnsi="Arial" w:eastAsia="微软雅黑"/>
          <w:sz w:val="20"/>
        </w:rPr>
        <w:t>aft苏州 的税务亏损不能迁移至 aft新公司。它们留在 aft苏州，用于抵扣应收款核销（受第 4.9 节的时间安排影响）和未来租赁收入（见第6节）。如果特殊税务处理可用，可迁移至新公司的累计亏损比例将参照转让资产占 aft苏州 总资产的比例确定（受制于法定的五年结转期限，按亏损年度适用）。</w:t>
      </w:r>
    </w:p>
    <w:p>
      <w:r>
        <w:rPr>
          <w:rFonts w:ascii="Arial" w:hAnsi="Arial" w:eastAsia="微软雅黑"/>
          <w:b w:val="0"/>
          <w:i w:val="0"/>
          <w:sz w:val="20"/>
        </w:rPr>
        <w:t>股权转让的商业时机是刻意的结果，此处不予重新审视。所丧失的税务效率被记录下来，以便该取舍可见。如果股东希望在未来交易中适用特殊税务处理，相关抓手是：(i) 将新公司持股比例调整为与重组前 aft苏州 持股比例一致，以及 (ii) 重新调整资产包和对价组合。</w:t>
      </w:r>
    </w:p>
    <w:p>
      <w:pPr>
        <w:pStyle w:val="Heading2"/>
      </w:pPr>
      <w:r>
        <w:rPr>
          <w:rFonts w:ascii="Arial" w:hAnsi="Arial" w:eastAsia="微软雅黑"/>
          <w:color w:val="003366"/>
        </w:rPr>
        <w:t>5.7 顺序安排</w:t>
      </w:r>
    </w:p>
    <w:p>
      <w:r>
        <w:rPr>
          <w:rFonts w:ascii="Arial" w:hAnsi="Arial" w:eastAsia="微软雅黑"/>
          <w:b w:val="0"/>
          <w:i w:val="0"/>
          <w:sz w:val="20"/>
        </w:rPr>
        <w:t>股权转让应在"全部汽车零部件相关业务转让完成后"进行（《补充协议》第 1.3 条）。这一顺序安排在以下三方面有利：</w:t>
      </w:r>
    </w:p>
    <w:p>
      <w:pPr>
        <w:pStyle w:val="ListBullet"/>
      </w:pPr>
      <w:r>
        <w:rPr>
          <w:rFonts w:ascii="Arial" w:hAnsi="Arial" w:eastAsia="微软雅黑"/>
          <w:sz w:val="20"/>
        </w:rPr>
        <w:t>它使 aft苏州 在股权转让时刻的税务画像为一家厂房/租赁公司，大大简化了估值抗辩。</w:t>
      </w:r>
    </w:p>
    <w:p>
      <w:pPr>
        <w:pStyle w:val="ListBullet"/>
      </w:pPr>
      <w:r>
        <w:rPr>
          <w:rFonts w:ascii="Arial" w:hAnsi="Arial" w:eastAsia="微软雅黑"/>
          <w:sz w:val="20"/>
        </w:rPr>
        <w:t>它通过确保资产转让在股东变更之前实质完成，支持资产重组的增值税立场。</w:t>
      </w:r>
    </w:p>
    <w:p>
      <w:pPr>
        <w:pStyle w:val="ListBullet"/>
      </w:pPr>
      <w:r>
        <w:rPr>
          <w:rFonts w:ascii="Arial" w:hAnsi="Arial" w:eastAsia="微软雅黑"/>
          <w:sz w:val="20"/>
        </w:rPr>
        <w:t>它将两项交易在申报和审计追踪方面进行分离。</w:t>
      </w:r>
    </w:p>
    <w:p>
      <w:r>
        <w:rPr>
          <w:rFonts w:ascii="Arial" w:hAnsi="Arial" w:eastAsia="微软雅黑"/>
          <w:b w:val="0"/>
          <w:i w:val="0"/>
          <w:sz w:val="20"/>
        </w:rPr>
        <w:t>应收款核销应在同一窗口——并且至关重要的是在股权转让之前（见第 4.9 节）——完成文件记录。因此顺序为：(i) 完成资产转让，(ii) 将应收款核销作为资本投入执行，(iii) 执行 16% 股权转让。前两步保留了 aft GmbH 的控股地位以支持核销的资本投入定性；第三步完成重组。</w:t>
      </w:r>
    </w:p>
    <w:p>
      <w:r>
        <w:rPr>
          <w:rFonts w:ascii="Arial" w:hAnsi="Arial" w:eastAsia="微软雅黑"/>
          <w:b w:val="0"/>
          <w:i w:val="0"/>
          <w:sz w:val="20"/>
        </w:rPr>
        <w:t>该顺序应具体实施：特别是，在资产转让文件和债务豁免契据均已存档之前，不应向市场监督管理局（"市监局"）提交股权变更登记。参见第7节。</w:t>
      </w:r>
    </w:p>
    <w:p>
      <w:r>
        <w:br w:type="page"/>
      </w:r>
    </w:p>
    <w:p>
      <w:pPr>
        <w:pStyle w:val="Heading1"/>
      </w:pPr>
      <w:r>
        <w:rPr>
          <w:rFonts w:ascii="Arial" w:hAnsi="Arial" w:eastAsia="微软雅黑"/>
          <w:color w:val="003366"/>
        </w:rPr>
        <w:t>6. 重组后税务状况</w:t>
      </w:r>
    </w:p>
    <w:p>
      <w:pPr>
        <w:pStyle w:val="Heading2"/>
      </w:pPr>
      <w:r>
        <w:rPr>
          <w:rFonts w:ascii="Arial" w:hAnsi="Arial" w:eastAsia="微软雅黑"/>
          <w:color w:val="003366"/>
        </w:rPr>
        <w:t>6.1 aft苏州 的累计税务亏损</w:t>
      </w:r>
    </w:p>
    <w:p>
      <w:r>
        <w:rPr>
          <w:rFonts w:ascii="Arial" w:hAnsi="Arial" w:eastAsia="微软雅黑"/>
          <w:b w:val="0"/>
          <w:i w:val="0"/>
          <w:sz w:val="20"/>
        </w:rPr>
        <w:t>aft苏州 有以前年度产生的大量累计税务亏损。由于永久性和暂时性的账税差异，可用于结转的税务亏损余额可能与会计亏损余额不同。根据《企业所得税法》第18条，法定五年结转期限按每个亏损年度分别适用。</w:t>
      </w:r>
    </w:p>
    <w:p>
      <w:r>
        <w:rPr>
          <w:rFonts w:ascii="Arial" w:hAnsi="Arial" w:eastAsia="微软雅黑"/>
          <w:b w:val="0"/>
          <w:i w:val="0"/>
          <w:sz w:val="20"/>
        </w:rPr>
        <w:t>所需行动：</w:t>
      </w:r>
    </w:p>
    <w:p>
      <w:pPr>
        <w:pStyle w:val="ListBullet"/>
      </w:pPr>
      <w:r>
        <w:rPr>
          <w:rFonts w:ascii="Arial" w:hAnsi="Arial" w:eastAsia="微软雅黑"/>
          <w:sz w:val="20"/>
        </w:rPr>
        <w:t>根据 aft苏州 以前年度企业所得税申报表，按亏损产生年度将会计亏损调节至税务亏损。</w:t>
      </w:r>
    </w:p>
    <w:p>
      <w:pPr>
        <w:pStyle w:val="ListBullet"/>
      </w:pPr>
      <w:r>
        <w:rPr>
          <w:rFonts w:ascii="Arial" w:hAnsi="Arial" w:eastAsia="微软雅黑"/>
          <w:sz w:val="20"/>
        </w:rPr>
        <w:t>识别每个亏损批次的逐年到期情况。</w:t>
      </w:r>
    </w:p>
    <w:p>
      <w:pPr>
        <w:pStyle w:val="ListBullet"/>
      </w:pPr>
      <w:r>
        <w:rPr>
          <w:rFonts w:ascii="Arial" w:hAnsi="Arial" w:eastAsia="微软雅黑"/>
          <w:sz w:val="20"/>
        </w:rPr>
        <w:t>预测 aft苏州 重组后的应税收入（主要为租赁租金减去折旧、利息和运营成本），以确定在到期前可能使用的亏损比例。</w:t>
      </w:r>
    </w:p>
    <w:p>
      <w:r>
        <w:rPr>
          <w:rFonts w:ascii="Arial" w:hAnsi="Arial" w:eastAsia="微软雅黑"/>
          <w:b/>
          <w:i w:val="0"/>
          <w:sz w:val="20"/>
        </w:rPr>
        <w:t>可能的结果</w:t>
      </w:r>
    </w:p>
    <w:p>
      <w:r>
        <w:rPr>
          <w:rFonts w:ascii="Arial" w:hAnsi="Arial" w:eastAsia="微软雅黑"/>
          <w:b w:val="0"/>
          <w:i w:val="0"/>
          <w:sz w:val="20"/>
        </w:rPr>
        <w:t>如果应收款核销以股权转让前的资本投入方式安排（第 4.9 节场景1），亏损将完全保留用于抵扣未来租赁收入。如果落入场景2（应税债务重组收益），亏损在当年吸收该收入，剩余部分可用于抵扣未来租赁收入。剩余部分是否在五年到期前被完全利用，取决于租金水平、aft苏州 的折旧抵扣（厂房竣工并资本化后）、银行贷款的利息抵扣以及每个亏损批次的时间。无论在哪种场景下，部分亏损可能到期未用，但场景1下保留的更多。建议在租赁开始后单独进行亏损利用预测。</w:t>
      </w:r>
    </w:p>
    <w:p>
      <w:pPr>
        <w:pStyle w:val="Heading2"/>
      </w:pPr>
      <w:r>
        <w:rPr>
          <w:rFonts w:ascii="Arial" w:hAnsi="Arial" w:eastAsia="微软雅黑"/>
          <w:color w:val="003366"/>
        </w:rPr>
        <w:t>6.2 aft苏州 的增值税留抵余额</w:t>
      </w:r>
    </w:p>
    <w:p>
      <w:r>
        <w:rPr>
          <w:rFonts w:ascii="Arial" w:hAnsi="Arial" w:eastAsia="微软雅黑"/>
          <w:b w:val="0"/>
          <w:i w:val="0"/>
          <w:sz w:val="20"/>
        </w:rPr>
        <w:t>aft苏州 保留了建设阶段累计的增值税进项留抵余额。</w:t>
      </w:r>
    </w:p>
    <w:p>
      <w:pPr>
        <w:pStyle w:val="ListBullet"/>
      </w:pPr>
      <w:r>
        <w:rPr>
          <w:rFonts w:ascii="Arial" w:hAnsi="Arial" w:eastAsia="微软雅黑"/>
          <w:sz w:val="20"/>
        </w:rPr>
        <w:t>重组后，aft苏州 的主要增值税相关活动是向 aft新公司 出租的租金收入，按 9% 增值税税率（不动产租赁）计征。</w:t>
      </w:r>
    </w:p>
    <w:p>
      <w:pPr>
        <w:pStyle w:val="ListBullet"/>
      </w:pPr>
      <w:r>
        <w:rPr>
          <w:rFonts w:ascii="Arial" w:hAnsi="Arial" w:eastAsia="微软雅黑"/>
          <w:sz w:val="20"/>
        </w:rPr>
        <w:t>累计进项留抵可用于抵扣租金销项增值税。由于租金销项增值税相对留抵余额而言规模较小，通过每月抵扣完全利用可能需要多年。部分留抵在经济合理的时间框架内可能无法收回。</w:t>
      </w:r>
    </w:p>
    <w:p>
      <w:pPr>
        <w:pStyle w:val="ListBullet"/>
      </w:pPr>
      <w:r>
        <w:rPr>
          <w:rFonts w:ascii="Arial" w:hAnsi="Arial" w:eastAsia="微软雅黑"/>
          <w:sz w:val="20"/>
        </w:rPr>
        <w:t>替代方案：国税总局对超额进项增值税实行增值税留抵退税制度（财税[2022]第14号）。aft苏州 应测试是否符合期末超额留抵退税的资格条件。</w:t>
      </w:r>
    </w:p>
    <w:p>
      <w:r>
        <w:br w:type="page"/>
      </w:r>
    </w:p>
    <w:p>
      <w:pPr>
        <w:pStyle w:val="Heading1"/>
      </w:pPr>
      <w:r>
        <w:rPr>
          <w:rFonts w:ascii="Arial" w:hAnsi="Arial" w:eastAsia="微软雅黑"/>
          <w:color w:val="003366"/>
        </w:rPr>
        <w:t>7. 申报、审批与顺序安排</w:t>
      </w:r>
    </w:p>
    <w:p>
      <w:r>
        <w:rPr>
          <w:rFonts w:ascii="Arial" w:hAnsi="Arial" w:eastAsia="微软雅黑"/>
          <w:b w:val="0"/>
          <w:i w:val="0"/>
          <w:sz w:val="20"/>
        </w:rPr>
        <w:t>建议的顺序分为四个阶段，总结如下：</w:t>
      </w:r>
    </w:p>
    <w:p>
      <w:pPr>
        <w:pStyle w:val="Heading2"/>
      </w:pPr>
      <w:r>
        <w:rPr>
          <w:rFonts w:ascii="Arial" w:hAnsi="Arial" w:eastAsia="微软雅黑"/>
          <w:color w:val="003366"/>
        </w:rPr>
        <w:t>第一阶段——准备</w:t>
      </w:r>
    </w:p>
    <w:p>
      <w:r>
        <w:rPr>
          <w:rFonts w:ascii="Arial" w:hAnsi="Arial" w:eastAsia="微软雅黑"/>
          <w:b w:val="0"/>
          <w:i w:val="0"/>
          <w:sz w:val="20"/>
        </w:rPr>
        <w:t>应准备以下文件并采取以下步骤：</w:t>
      </w:r>
    </w:p>
    <w:p>
      <w:pPr>
        <w:pStyle w:val="ListBullet"/>
      </w:pPr>
      <w:r>
        <w:rPr>
          <w:rFonts w:ascii="Arial" w:hAnsi="Arial" w:eastAsia="微软雅黑"/>
          <w:sz w:val="20"/>
        </w:rPr>
        <w:t>1. 独立评估报告——汽车零部件业务和 aft苏州 16% 股权</w:t>
      </w:r>
    </w:p>
    <w:p>
      <w:pPr>
        <w:pStyle w:val="ListBullet"/>
      </w:pPr>
      <w:r>
        <w:rPr>
          <w:rFonts w:ascii="Arial" w:hAnsi="Arial" w:eastAsia="微软雅黑"/>
          <w:sz w:val="20"/>
        </w:rPr>
        <w:t>2. 设备所有权协调</w:t>
      </w:r>
    </w:p>
    <w:p>
      <w:pPr>
        <w:pStyle w:val="ListBullet"/>
      </w:pPr>
      <w:r>
        <w:rPr>
          <w:rFonts w:ascii="Arial" w:hAnsi="Arial" w:eastAsia="微软雅黑"/>
          <w:sz w:val="20"/>
        </w:rPr>
        <w:t>3. 进口设备的海关监管状态核查</w:t>
      </w:r>
    </w:p>
    <w:p>
      <w:pPr>
        <w:pStyle w:val="ListBullet"/>
      </w:pPr>
      <w:r>
        <w:rPr>
          <w:rFonts w:ascii="Arial" w:hAnsi="Arial" w:eastAsia="微软雅黑"/>
          <w:sz w:val="20"/>
        </w:rPr>
        <w:t>4. aft GmbH 的德国税务居民身份证明</w:t>
      </w:r>
    </w:p>
    <w:p>
      <w:pPr>
        <w:pStyle w:val="ListBullet"/>
      </w:pPr>
      <w:r>
        <w:rPr>
          <w:rFonts w:ascii="Arial" w:hAnsi="Arial" w:eastAsia="微软雅黑"/>
          <w:sz w:val="20"/>
        </w:rPr>
        <w:t>5. 最终确定交易文件（业务转让协议、三方劳动合同、股权转让协议）</w:t>
      </w:r>
    </w:p>
    <w:p>
      <w:pPr>
        <w:pStyle w:val="Heading2"/>
      </w:pPr>
      <w:r>
        <w:rPr>
          <w:rFonts w:ascii="Arial" w:hAnsi="Arial" w:eastAsia="微软雅黑"/>
          <w:color w:val="003366"/>
        </w:rPr>
        <w:t>第二阶段——执行</w:t>
      </w:r>
    </w:p>
    <w:p>
      <w:pPr>
        <w:pStyle w:val="ListBullet"/>
      </w:pPr>
      <w:r>
        <w:rPr>
          <w:rFonts w:ascii="Arial" w:hAnsi="Arial" w:eastAsia="微软雅黑"/>
          <w:sz w:val="20"/>
        </w:rPr>
        <w:t>6. aft新公司 资本注入及验资（注册会计师报告）</w:t>
      </w:r>
    </w:p>
    <w:p>
      <w:pPr>
        <w:pStyle w:val="ListBullet"/>
      </w:pPr>
      <w:r>
        <w:rPr>
          <w:rFonts w:ascii="Arial" w:hAnsi="Arial" w:eastAsia="微软雅黑"/>
          <w:sz w:val="20"/>
        </w:rPr>
        <w:t>7. 业务转让协议的签署</w:t>
      </w:r>
    </w:p>
    <w:p>
      <w:pPr>
        <w:pStyle w:val="ListBullet"/>
      </w:pPr>
      <w:r>
        <w:rPr>
          <w:rFonts w:ascii="Arial" w:hAnsi="Arial" w:eastAsia="微软雅黑"/>
          <w:sz w:val="20"/>
        </w:rPr>
        <w:t>8. 三方劳动合同签署；社会保险重新登记</w:t>
      </w:r>
    </w:p>
    <w:p>
      <w:pPr>
        <w:pStyle w:val="ListBullet"/>
      </w:pPr>
      <w:r>
        <w:rPr>
          <w:rFonts w:ascii="Arial" w:hAnsi="Arial" w:eastAsia="微软雅黑"/>
          <w:sz w:val="20"/>
        </w:rPr>
        <w:t>9. 联合客户通知函</w:t>
      </w:r>
    </w:p>
    <w:p>
      <w:pPr>
        <w:pStyle w:val="ListBullet"/>
      </w:pPr>
      <w:r>
        <w:rPr>
          <w:rFonts w:ascii="Arial" w:hAnsi="Arial" w:eastAsia="微软雅黑"/>
          <w:sz w:val="20"/>
        </w:rPr>
        <w:t>10. 海关所有权变更申报（仅适用于仍处于监管期的情况）</w:t>
      </w:r>
    </w:p>
    <w:p>
      <w:pPr>
        <w:pStyle w:val="ListBullet"/>
      </w:pPr>
      <w:r>
        <w:rPr>
          <w:rFonts w:ascii="Arial" w:hAnsi="Arial" w:eastAsia="微软雅黑"/>
          <w:sz w:val="20"/>
        </w:rPr>
        <w:t>11. 就转让文书缴纳印花税</w:t>
      </w:r>
    </w:p>
    <w:p>
      <w:pPr>
        <w:pStyle w:val="ListBullet"/>
      </w:pPr>
      <w:r>
        <w:rPr>
          <w:rFonts w:ascii="Arial" w:hAnsi="Arial" w:eastAsia="微软雅黑"/>
          <w:sz w:val="20"/>
        </w:rPr>
        <w:t>12. 应收款核销的债务豁免契据，以 aft GmbH 资本投入方式安排（在第四阶段股权转让之前执行）</w:t>
      </w:r>
    </w:p>
    <w:p>
      <w:pPr>
        <w:pStyle w:val="Heading2"/>
      </w:pPr>
      <w:r>
        <w:rPr>
          <w:rFonts w:ascii="Arial" w:hAnsi="Arial" w:eastAsia="微软雅黑"/>
          <w:color w:val="003366"/>
        </w:rPr>
        <w:t>第三阶段——向税务机关申报（执行后）</w:t>
      </w:r>
    </w:p>
    <w:p>
      <w:pPr>
        <w:pStyle w:val="ListBullet"/>
      </w:pPr>
      <w:r>
        <w:rPr>
          <w:rFonts w:ascii="Arial" w:hAnsi="Arial" w:eastAsia="微软雅黑"/>
          <w:sz w:val="20"/>
        </w:rPr>
        <w:t>13. 就重组事项向 aft苏州 主管税务机关备案，包括资产重组的增值税立场</w:t>
      </w:r>
    </w:p>
    <w:p>
      <w:pPr>
        <w:pStyle w:val="ListBullet"/>
      </w:pPr>
      <w:r>
        <w:rPr>
          <w:rFonts w:ascii="Arial" w:hAnsi="Arial" w:eastAsia="微软雅黑"/>
          <w:sz w:val="20"/>
        </w:rPr>
        <w:t>14. 确认 aft新公司 的全部税务登记，包括增值税一般纳税人登记；发票额度；税务登记</w:t>
      </w:r>
    </w:p>
    <w:p>
      <w:pPr>
        <w:pStyle w:val="ListBullet"/>
      </w:pPr>
      <w:r>
        <w:rPr>
          <w:rFonts w:ascii="Arial" w:hAnsi="Arial" w:eastAsia="微软雅黑"/>
          <w:sz w:val="20"/>
        </w:rPr>
        <w:t>15. aft苏州 的（年度）企业所得税申报，反映重组情况</w:t>
      </w:r>
    </w:p>
    <w:p>
      <w:pPr>
        <w:pStyle w:val="ListBullet"/>
      </w:pPr>
      <w:r>
        <w:rPr>
          <w:rFonts w:ascii="Arial" w:hAnsi="Arial" w:eastAsia="微软雅黑"/>
          <w:sz w:val="20"/>
        </w:rPr>
        <w:t>16. aft新公司 首次企业所得税申报</w:t>
      </w:r>
    </w:p>
    <w:p>
      <w:pPr>
        <w:pStyle w:val="Heading2"/>
      </w:pPr>
      <w:r>
        <w:rPr>
          <w:rFonts w:ascii="Arial" w:hAnsi="Arial" w:eastAsia="微软雅黑"/>
          <w:color w:val="003366"/>
        </w:rPr>
        <w:t>第四阶段——股权转让</w:t>
      </w:r>
    </w:p>
    <w:p>
      <w:pPr>
        <w:pStyle w:val="ListBullet"/>
      </w:pPr>
      <w:r>
        <w:rPr>
          <w:rFonts w:ascii="Arial" w:hAnsi="Arial" w:eastAsia="微软雅黑"/>
          <w:sz w:val="20"/>
        </w:rPr>
        <w:t>17. 股权转让协议的签署（在资产转让完成后）</w:t>
      </w:r>
    </w:p>
    <w:p>
      <w:pPr>
        <w:pStyle w:val="ListBullet"/>
      </w:pPr>
      <w:r>
        <w:rPr>
          <w:rFonts w:ascii="Arial" w:hAnsi="Arial" w:eastAsia="微软雅黑"/>
          <w:sz w:val="20"/>
        </w:rPr>
        <w:t>18. 印花税缴纳</w:t>
      </w:r>
    </w:p>
    <w:p>
      <w:pPr>
        <w:pStyle w:val="ListBullet"/>
      </w:pPr>
      <w:r>
        <w:rPr>
          <w:rFonts w:ascii="Arial" w:hAnsi="Arial" w:eastAsia="微软雅黑"/>
          <w:sz w:val="20"/>
        </w:rPr>
        <w:t>19. 就 aft苏州 股权变更向市监局申报</w:t>
      </w:r>
    </w:p>
    <w:p>
      <w:pPr>
        <w:pStyle w:val="ListBullet"/>
      </w:pPr>
      <w:r>
        <w:rPr>
          <w:rFonts w:ascii="Arial" w:hAnsi="Arial" w:eastAsia="微软雅黑"/>
          <w:sz w:val="20"/>
        </w:rPr>
        <w:t>20. 在对价付款后 7 日内完成非居民企业所得税扣缴申报</w:t>
      </w:r>
    </w:p>
    <w:p>
      <w:pPr>
        <w:pStyle w:val="ListBullet"/>
      </w:pPr>
      <w:r>
        <w:rPr>
          <w:rFonts w:ascii="Arial" w:hAnsi="Arial" w:eastAsia="微软雅黑"/>
          <w:sz w:val="20"/>
        </w:rPr>
        <w:t>21. 向 aft GmbH 办理 1,600,000 元人民币的银行汇款（附完税证明）</w:t>
      </w:r>
    </w:p>
    <w:p>
      <w:pPr>
        <w:pStyle w:val="Heading2"/>
      </w:pPr>
      <w:r>
        <w:rPr>
          <w:rFonts w:ascii="Arial" w:hAnsi="Arial" w:eastAsia="微软雅黑"/>
          <w:color w:val="003366"/>
        </w:rPr>
        <w:t>关键顺序要点</w:t>
      </w:r>
    </w:p>
    <w:p>
      <w:r>
        <w:rPr>
          <w:rFonts w:ascii="Arial" w:hAnsi="Arial" w:eastAsia="微软雅黑"/>
          <w:b w:val="0"/>
          <w:i w:val="0"/>
          <w:sz w:val="20"/>
        </w:rPr>
        <w:t>第三阶段和第四阶段应在时间上分离（理想情况下间隔数周），以证明资产转让在股权变更之前已实质完成。同时申报会引起税务机关怀疑两者是单一组合交易。</w:t>
      </w:r>
    </w:p>
    <w:p>
      <w:r>
        <w:br w:type="page"/>
      </w:r>
    </w:p>
    <w:p>
      <w:pPr>
        <w:pStyle w:val="Heading1"/>
      </w:pPr>
      <w:r>
        <w:rPr>
          <w:rFonts w:ascii="Arial" w:hAnsi="Arial" w:eastAsia="微软雅黑"/>
          <w:color w:val="003366"/>
        </w:rPr>
        <w:t>8. 总结意见</w:t>
      </w:r>
    </w:p>
    <w:p>
      <w:r>
        <w:rPr>
          <w:rFonts w:ascii="Arial" w:hAnsi="Arial" w:eastAsia="微软雅黑"/>
          <w:b w:val="0"/>
          <w:i w:val="0"/>
          <w:sz w:val="20"/>
        </w:rPr>
        <w:t>根据上述分析，本报告所述重组从中国税务角度是可行的。资产转让如果作为一个整体资产包进行结构安排和文件记录，可在资产重组制度下被定位为不属于增值税征税范围。如果应收款核销在 16% 股权转让之前执行，可定性为资本投入并在税务上如此确认。aft苏州 的累计亏损可根据该时间安排得以保留或有效吸收。而股权转让在估值方面可以辩护，前提是有独立评估为对价提供支撑。</w:t>
      </w:r>
    </w:p>
    <w:p>
      <w:r>
        <w:rPr>
          <w:rFonts w:ascii="Arial" w:hAnsi="Arial" w:eastAsia="微软雅黑"/>
          <w:b w:val="0"/>
          <w:i w:val="0"/>
          <w:sz w:val="20"/>
        </w:rPr>
        <w:t>然而，这些结果没有一项是自动实现的。每一项都取决于文件记录的严谨性、第7节所述顺序的遵守，以及客户在必要时与主管税务机关的积极沟通。本节剩余部分涵盖主要风险和我们建议的行动事项。</w:t>
      </w:r>
    </w:p>
    <w:p>
      <w:pPr>
        <w:pStyle w:val="Heading2"/>
      </w:pPr>
      <w:r>
        <w:rPr>
          <w:rFonts w:ascii="Arial" w:hAnsi="Arial" w:eastAsia="微软雅黑"/>
          <w:color w:val="003366"/>
        </w:rPr>
        <w:t>8.1 税务风险排名</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r/>
            <w:r>
              <w:rPr>
                <w:rFonts w:ascii="Arial" w:hAnsi="Arial" w:eastAsia="微软雅黑"/>
                <w:b/>
                <w:sz w:val="14"/>
              </w:rPr>
              <w:t>排名</w:t>
            </w:r>
          </w:p>
        </w:tc>
        <w:tc>
          <w:tcPr>
            <w:tcW w:type="dxa" w:w="1872"/>
          </w:tcPr>
          <w:p>
            <w:r/>
            <w:r>
              <w:rPr>
                <w:rFonts w:ascii="Arial" w:hAnsi="Arial" w:eastAsia="微软雅黑"/>
                <w:b/>
                <w:sz w:val="14"/>
              </w:rPr>
              <w:t>风险</w:t>
            </w:r>
          </w:p>
        </w:tc>
        <w:tc>
          <w:tcPr>
            <w:tcW w:type="dxa" w:w="1872"/>
          </w:tcPr>
          <w:p>
            <w:r/>
            <w:r>
              <w:rPr>
                <w:rFonts w:ascii="Arial" w:hAnsi="Arial" w:eastAsia="微软雅黑"/>
                <w:b/>
                <w:sz w:val="14"/>
              </w:rPr>
              <w:t>重大性</w:t>
            </w:r>
          </w:p>
        </w:tc>
        <w:tc>
          <w:tcPr>
            <w:tcW w:type="dxa" w:w="1872"/>
          </w:tcPr>
          <w:p>
            <w:r/>
            <w:r>
              <w:rPr>
                <w:rFonts w:ascii="Arial" w:hAnsi="Arial" w:eastAsia="微软雅黑"/>
                <w:b/>
                <w:sz w:val="14"/>
              </w:rPr>
              <w:t>概率</w:t>
            </w:r>
          </w:p>
        </w:tc>
        <w:tc>
          <w:tcPr>
            <w:tcW w:type="dxa" w:w="1872"/>
          </w:tcPr>
          <w:p>
            <w:r/>
            <w:r>
              <w:rPr>
                <w:rFonts w:ascii="Arial" w:hAnsi="Arial" w:eastAsia="微软雅黑"/>
                <w:b/>
                <w:sz w:val="14"/>
              </w:rPr>
              <w:t>主要缓解措施</w:t>
            </w:r>
          </w:p>
        </w:tc>
      </w:tr>
      <w:tr>
        <w:tc>
          <w:tcPr>
            <w:tcW w:type="dxa" w:w="1872"/>
          </w:tcPr>
          <w:p>
            <w:r/>
            <w:r>
              <w:rPr>
                <w:rFonts w:ascii="Arial" w:hAnsi="Arial" w:eastAsia="微软雅黑"/>
                <w:b w:val="0"/>
                <w:sz w:val="14"/>
              </w:rPr>
              <w:t>1</w:t>
            </w:r>
          </w:p>
        </w:tc>
        <w:tc>
          <w:tcPr>
            <w:tcW w:type="dxa" w:w="1872"/>
          </w:tcPr>
          <w:p>
            <w:r/>
            <w:r>
              <w:rPr>
                <w:rFonts w:ascii="Arial" w:hAnsi="Arial" w:eastAsia="微软雅黑"/>
                <w:b w:val="0"/>
                <w:sz w:val="14"/>
              </w:rPr>
              <w:t>税务机关就 16% 股权转让评估更高的公允价值，触发非零收益的预提税</w:t>
            </w:r>
          </w:p>
        </w:tc>
        <w:tc>
          <w:tcPr>
            <w:tcW w:type="dxa" w:w="1872"/>
          </w:tcPr>
          <w:p>
            <w:r/>
            <w:r>
              <w:rPr>
                <w:rFonts w:ascii="Arial" w:hAnsi="Arial" w:eastAsia="微软雅黑"/>
                <w:b w:val="0"/>
                <w:sz w:val="14"/>
              </w:rPr>
              <w:t>高</w:t>
            </w:r>
          </w:p>
        </w:tc>
        <w:tc>
          <w:tcPr>
            <w:tcW w:type="dxa" w:w="1872"/>
          </w:tcPr>
          <w:p>
            <w:r/>
            <w:r>
              <w:rPr>
                <w:rFonts w:ascii="Arial" w:hAnsi="Arial" w:eastAsia="微软雅黑"/>
                <w:b w:val="0"/>
                <w:sz w:val="14"/>
              </w:rPr>
              <w:t>中–高</w:t>
            </w:r>
          </w:p>
        </w:tc>
        <w:tc>
          <w:tcPr>
            <w:tcW w:type="dxa" w:w="1872"/>
          </w:tcPr>
          <w:p>
            <w:r/>
            <w:r>
              <w:rPr>
                <w:rFonts w:ascii="Arial" w:hAnsi="Arial" w:eastAsia="微软雅黑"/>
                <w:b w:val="0"/>
                <w:sz w:val="14"/>
              </w:rPr>
              <w:t>独立股权评估；如果估值支持更高价值则考虑修订对价；确认第 1.3 条加总还原机制</w:t>
            </w:r>
          </w:p>
        </w:tc>
      </w:tr>
      <w:tr>
        <w:tc>
          <w:tcPr>
            <w:tcW w:type="dxa" w:w="1872"/>
          </w:tcPr>
          <w:p>
            <w:r/>
            <w:r>
              <w:rPr>
                <w:rFonts w:ascii="Arial" w:hAnsi="Arial" w:eastAsia="微软雅黑"/>
                <w:b w:val="0"/>
                <w:sz w:val="14"/>
              </w:rPr>
              <w:t>2</w:t>
            </w:r>
          </w:p>
        </w:tc>
        <w:tc>
          <w:tcPr>
            <w:tcW w:type="dxa" w:w="1872"/>
          </w:tcPr>
          <w:p>
            <w:r/>
            <w:r>
              <w:rPr>
                <w:rFonts w:ascii="Arial" w:hAnsi="Arial" w:eastAsia="微软雅黑"/>
                <w:b w:val="0"/>
                <w:sz w:val="14"/>
              </w:rPr>
              <w:t>资产重组增值税处理被否定，触发对有形资产转让的销项增值税</w:t>
            </w:r>
          </w:p>
        </w:tc>
        <w:tc>
          <w:tcPr>
            <w:tcW w:type="dxa" w:w="1872"/>
          </w:tcPr>
          <w:p>
            <w:r/>
            <w:r>
              <w:rPr>
                <w:rFonts w:ascii="Arial" w:hAnsi="Arial" w:eastAsia="微软雅黑"/>
                <w:b w:val="0"/>
                <w:sz w:val="14"/>
              </w:rPr>
              <w:t>高</w:t>
            </w:r>
          </w:p>
        </w:tc>
        <w:tc>
          <w:tcPr>
            <w:tcW w:type="dxa" w:w="1872"/>
          </w:tcPr>
          <w:p>
            <w:r/>
            <w:r>
              <w:rPr>
                <w:rFonts w:ascii="Arial" w:hAnsi="Arial" w:eastAsia="微软雅黑"/>
                <w:b w:val="0"/>
                <w:sz w:val="14"/>
              </w:rPr>
              <w:t>低–中</w:t>
            </w:r>
          </w:p>
        </w:tc>
        <w:tc>
          <w:tcPr>
            <w:tcW w:type="dxa" w:w="1872"/>
          </w:tcPr>
          <w:p>
            <w:r/>
            <w:r>
              <w:rPr>
                <w:rFonts w:ascii="Arial" w:hAnsi="Arial" w:eastAsia="微软雅黑"/>
                <w:b w:val="0"/>
                <w:sz w:val="14"/>
              </w:rPr>
              <w:t>单一业务转让协议；劳动力、合同和客户连续性的文件记录</w:t>
            </w:r>
          </w:p>
        </w:tc>
      </w:tr>
      <w:tr>
        <w:tc>
          <w:tcPr>
            <w:tcW w:type="dxa" w:w="1872"/>
          </w:tcPr>
          <w:p>
            <w:r/>
            <w:r>
              <w:rPr>
                <w:rFonts w:ascii="Arial" w:hAnsi="Arial" w:eastAsia="微软雅黑"/>
                <w:b w:val="0"/>
                <w:sz w:val="14"/>
              </w:rPr>
              <w:t>3</w:t>
            </w:r>
          </w:p>
        </w:tc>
        <w:tc>
          <w:tcPr>
            <w:tcW w:type="dxa" w:w="1872"/>
          </w:tcPr>
          <w:p>
            <w:r/>
            <w:r>
              <w:rPr>
                <w:rFonts w:ascii="Arial" w:hAnsi="Arial" w:eastAsia="微软雅黑"/>
                <w:b w:val="0"/>
                <w:sz w:val="14"/>
              </w:rPr>
              <w:t>设备所有权不一致出现在税务或海关申报中，触发重新定性</w:t>
            </w:r>
          </w:p>
        </w:tc>
        <w:tc>
          <w:tcPr>
            <w:tcW w:type="dxa" w:w="1872"/>
          </w:tcPr>
          <w:p>
            <w:r/>
            <w:r>
              <w:rPr>
                <w:rFonts w:ascii="Arial" w:hAnsi="Arial" w:eastAsia="微软雅黑"/>
                <w:b w:val="0"/>
                <w:sz w:val="14"/>
              </w:rPr>
              <w:t>高</w:t>
            </w:r>
          </w:p>
        </w:tc>
        <w:tc>
          <w:tcPr>
            <w:tcW w:type="dxa" w:w="1872"/>
          </w:tcPr>
          <w:p>
            <w:r/>
            <w:r>
              <w:rPr>
                <w:rFonts w:ascii="Arial" w:hAnsi="Arial" w:eastAsia="微软雅黑"/>
                <w:b w:val="0"/>
                <w:sz w:val="14"/>
              </w:rPr>
              <w:t>中（如未解决）</w:t>
            </w:r>
          </w:p>
        </w:tc>
        <w:tc>
          <w:tcPr>
            <w:tcW w:type="dxa" w:w="1872"/>
          </w:tcPr>
          <w:p>
            <w:r/>
            <w:r>
              <w:rPr>
                <w:rFonts w:ascii="Arial" w:hAnsi="Arial" w:eastAsia="微软雅黑"/>
                <w:b w:val="0"/>
                <w:sz w:val="14"/>
              </w:rPr>
              <w:t>在任何申报之前协调并统一《补充协议》第 1.8 条、账簿和提交材料</w:t>
            </w:r>
          </w:p>
        </w:tc>
      </w:tr>
      <w:tr>
        <w:tc>
          <w:tcPr>
            <w:tcW w:type="dxa" w:w="1872"/>
          </w:tcPr>
          <w:p>
            <w:r/>
            <w:r>
              <w:rPr>
                <w:rFonts w:ascii="Arial" w:hAnsi="Arial" w:eastAsia="微软雅黑"/>
                <w:b w:val="0"/>
                <w:sz w:val="14"/>
              </w:rPr>
              <w:t>4</w:t>
            </w:r>
          </w:p>
        </w:tc>
        <w:tc>
          <w:tcPr>
            <w:tcW w:type="dxa" w:w="1872"/>
          </w:tcPr>
          <w:p>
            <w:r/>
            <w:r>
              <w:rPr>
                <w:rFonts w:ascii="Arial" w:hAnsi="Arial" w:eastAsia="微软雅黑"/>
                <w:b w:val="0"/>
                <w:sz w:val="14"/>
              </w:rPr>
              <w:t>税务机关就资产转让评估更高的公允价值，触发超过可用亏损的非零收益的企业所得税</w:t>
            </w:r>
          </w:p>
        </w:tc>
        <w:tc>
          <w:tcPr>
            <w:tcW w:type="dxa" w:w="1872"/>
          </w:tcPr>
          <w:p>
            <w:r/>
            <w:r>
              <w:rPr>
                <w:rFonts w:ascii="Arial" w:hAnsi="Arial" w:eastAsia="微软雅黑"/>
                <w:b w:val="0"/>
                <w:sz w:val="14"/>
              </w:rPr>
              <w:t>中</w:t>
            </w:r>
          </w:p>
        </w:tc>
        <w:tc>
          <w:tcPr>
            <w:tcW w:type="dxa" w:w="1872"/>
          </w:tcPr>
          <w:p>
            <w:r/>
            <w:r>
              <w:rPr>
                <w:rFonts w:ascii="Arial" w:hAnsi="Arial" w:eastAsia="微软雅黑"/>
                <w:b w:val="0"/>
                <w:sz w:val="14"/>
              </w:rPr>
              <w:t>低–中</w:t>
            </w:r>
          </w:p>
        </w:tc>
        <w:tc>
          <w:tcPr>
            <w:tcW w:type="dxa" w:w="1872"/>
          </w:tcPr>
          <w:p>
            <w:r/>
            <w:r>
              <w:rPr>
                <w:rFonts w:ascii="Arial" w:hAnsi="Arial" w:eastAsia="微软雅黑"/>
                <w:b w:val="0"/>
                <w:sz w:val="14"/>
              </w:rPr>
              <w:t>独立评估；如有帮助则进行事前沟通；将对价与估值保持一致</w:t>
            </w:r>
          </w:p>
        </w:tc>
      </w:tr>
      <w:tr>
        <w:tc>
          <w:tcPr>
            <w:tcW w:type="dxa" w:w="1872"/>
          </w:tcPr>
          <w:p>
            <w:r/>
            <w:r>
              <w:rPr>
                <w:rFonts w:ascii="Arial" w:hAnsi="Arial" w:eastAsia="微软雅黑"/>
                <w:b w:val="0"/>
                <w:sz w:val="14"/>
              </w:rPr>
              <w:t>5</w:t>
            </w:r>
          </w:p>
        </w:tc>
        <w:tc>
          <w:tcPr>
            <w:tcW w:type="dxa" w:w="1872"/>
          </w:tcPr>
          <w:p>
            <w:r/>
            <w:r>
              <w:rPr>
                <w:rFonts w:ascii="Arial" w:hAnsi="Arial" w:eastAsia="微软雅黑"/>
                <w:b w:val="0"/>
                <w:sz w:val="14"/>
              </w:rPr>
              <w:t>aft苏州 累计亏损部分到期未用</w:t>
            </w:r>
          </w:p>
        </w:tc>
        <w:tc>
          <w:tcPr>
            <w:tcW w:type="dxa" w:w="1872"/>
          </w:tcPr>
          <w:p>
            <w:r/>
            <w:r>
              <w:rPr>
                <w:rFonts w:ascii="Arial" w:hAnsi="Arial" w:eastAsia="微软雅黑"/>
                <w:b w:val="0"/>
                <w:sz w:val="14"/>
              </w:rPr>
              <w:t>中</w:t>
            </w:r>
          </w:p>
        </w:tc>
        <w:tc>
          <w:tcPr>
            <w:tcW w:type="dxa" w:w="1872"/>
          </w:tcPr>
          <w:p>
            <w:r/>
            <w:r>
              <w:rPr>
                <w:rFonts w:ascii="Arial" w:hAnsi="Arial" w:eastAsia="微软雅黑"/>
                <w:b w:val="0"/>
                <w:sz w:val="14"/>
              </w:rPr>
              <w:t>高</w:t>
            </w:r>
          </w:p>
        </w:tc>
        <w:tc>
          <w:tcPr>
            <w:tcW w:type="dxa" w:w="1872"/>
          </w:tcPr>
          <w:p>
            <w:r/>
            <w:r>
              <w:rPr>
                <w:rFonts w:ascii="Arial" w:hAnsi="Arial" w:eastAsia="微软雅黑"/>
                <w:b w:val="0"/>
                <w:sz w:val="14"/>
              </w:rPr>
              <w:t>预测租赁收入和折旧；在独立交易范围内进行租赁定价以支持更充分利用</w:t>
            </w:r>
          </w:p>
        </w:tc>
      </w:tr>
      <w:tr>
        <w:tc>
          <w:tcPr>
            <w:tcW w:type="dxa" w:w="1872"/>
          </w:tcPr>
          <w:p>
            <w:r/>
            <w:r>
              <w:rPr>
                <w:rFonts w:ascii="Arial" w:hAnsi="Arial" w:eastAsia="微软雅黑"/>
                <w:b w:val="0"/>
                <w:sz w:val="14"/>
              </w:rPr>
              <w:t>6</w:t>
            </w:r>
          </w:p>
        </w:tc>
        <w:tc>
          <w:tcPr>
            <w:tcW w:type="dxa" w:w="1872"/>
          </w:tcPr>
          <w:p>
            <w:r/>
            <w:r>
              <w:rPr>
                <w:rFonts w:ascii="Arial" w:hAnsi="Arial" w:eastAsia="微软雅黑"/>
                <w:b w:val="0"/>
                <w:sz w:val="14"/>
              </w:rPr>
              <w:t>aft苏州 增值税留抵搁浅（在合理时间框架内无法收回）</w:t>
            </w:r>
          </w:p>
        </w:tc>
        <w:tc>
          <w:tcPr>
            <w:tcW w:type="dxa" w:w="1872"/>
          </w:tcPr>
          <w:p>
            <w:r/>
            <w:r>
              <w:rPr>
                <w:rFonts w:ascii="Arial" w:hAnsi="Arial" w:eastAsia="微软雅黑"/>
                <w:b w:val="0"/>
                <w:sz w:val="14"/>
              </w:rPr>
              <w:t>中</w:t>
            </w:r>
          </w:p>
        </w:tc>
        <w:tc>
          <w:tcPr>
            <w:tcW w:type="dxa" w:w="1872"/>
          </w:tcPr>
          <w:p>
            <w:r/>
            <w:r>
              <w:rPr>
                <w:rFonts w:ascii="Arial" w:hAnsi="Arial" w:eastAsia="微软雅黑"/>
                <w:b w:val="0"/>
                <w:sz w:val="14"/>
              </w:rPr>
              <w:t>中–高</w:t>
            </w:r>
          </w:p>
        </w:tc>
        <w:tc>
          <w:tcPr>
            <w:tcW w:type="dxa" w:w="1872"/>
          </w:tcPr>
          <w:p>
            <w:r/>
            <w:r>
              <w:rPr>
                <w:rFonts w:ascii="Arial" w:hAnsi="Arial" w:eastAsia="微软雅黑"/>
                <w:b w:val="0"/>
                <w:sz w:val="14"/>
              </w:rPr>
              <w:t>用于抵扣租金销项税额；测试期末超额留抵退税的资格</w:t>
            </w:r>
          </w:p>
        </w:tc>
      </w:tr>
      <w:tr>
        <w:tc>
          <w:tcPr>
            <w:tcW w:type="dxa" w:w="1872"/>
          </w:tcPr>
          <w:p>
            <w:r/>
            <w:r>
              <w:rPr>
                <w:rFonts w:ascii="Arial" w:hAnsi="Arial" w:eastAsia="微软雅黑"/>
                <w:b w:val="0"/>
                <w:sz w:val="14"/>
              </w:rPr>
              <w:t>7</w:t>
            </w:r>
          </w:p>
        </w:tc>
        <w:tc>
          <w:tcPr>
            <w:tcW w:type="dxa" w:w="1872"/>
          </w:tcPr>
          <w:p>
            <w:r/>
            <w:r>
              <w:rPr>
                <w:rFonts w:ascii="Arial" w:hAnsi="Arial" w:eastAsia="微软雅黑"/>
                <w:b w:val="0"/>
                <w:sz w:val="14"/>
              </w:rPr>
              <w:t>处于监管期内的设备被追征关税/进口增值税</w:t>
            </w:r>
          </w:p>
        </w:tc>
        <w:tc>
          <w:tcPr>
            <w:tcW w:type="dxa" w:w="1872"/>
          </w:tcPr>
          <w:p>
            <w:r/>
            <w:r>
              <w:rPr>
                <w:rFonts w:ascii="Arial" w:hAnsi="Arial" w:eastAsia="微软雅黑"/>
                <w:b w:val="0"/>
                <w:sz w:val="14"/>
              </w:rPr>
              <w:t>未知</w:t>
            </w:r>
          </w:p>
        </w:tc>
        <w:tc>
          <w:tcPr>
            <w:tcW w:type="dxa" w:w="1872"/>
          </w:tcPr>
          <w:p>
            <w:r/>
            <w:r>
              <w:rPr>
                <w:rFonts w:ascii="Arial" w:hAnsi="Arial" w:eastAsia="微软雅黑"/>
                <w:b w:val="0"/>
                <w:sz w:val="14"/>
              </w:rPr>
              <w:t>未知</w:t>
            </w:r>
          </w:p>
        </w:tc>
        <w:tc>
          <w:tcPr>
            <w:tcW w:type="dxa" w:w="1872"/>
          </w:tcPr>
          <w:p>
            <w:r/>
            <w:r>
              <w:rPr>
                <w:rFonts w:ascii="Arial" w:hAnsi="Arial" w:eastAsia="微软雅黑"/>
                <w:b w:val="0"/>
                <w:sz w:val="14"/>
              </w:rPr>
              <w:t>在转让前逐项核实监管状态；办理海关所有权变更申报</w:t>
            </w:r>
          </w:p>
        </w:tc>
      </w:tr>
      <w:tr>
        <w:tc>
          <w:tcPr>
            <w:tcW w:type="dxa" w:w="1872"/>
          </w:tcPr>
          <w:p>
            <w:r/>
            <w:r>
              <w:rPr>
                <w:rFonts w:ascii="Arial" w:hAnsi="Arial" w:eastAsia="微软雅黑"/>
                <w:b w:val="0"/>
                <w:sz w:val="14"/>
              </w:rPr>
              <w:t>8</w:t>
            </w:r>
          </w:p>
        </w:tc>
        <w:tc>
          <w:tcPr>
            <w:tcW w:type="dxa" w:w="1872"/>
          </w:tcPr>
          <w:p>
            <w:r/>
            <w:r>
              <w:rPr>
                <w:rFonts w:ascii="Arial" w:hAnsi="Arial" w:eastAsia="微软雅黑"/>
                <w:b w:val="0"/>
                <w:sz w:val="14"/>
              </w:rPr>
              <w:t>员工转让处理不当——触发个人所得税或遣散费，或劳动力连续性中断削弱资产重组立场</w:t>
            </w:r>
          </w:p>
        </w:tc>
        <w:tc>
          <w:tcPr>
            <w:tcW w:type="dxa" w:w="1872"/>
          </w:tcPr>
          <w:p>
            <w:r/>
            <w:r>
              <w:rPr>
                <w:rFonts w:ascii="Arial" w:hAnsi="Arial" w:eastAsia="微软雅黑"/>
                <w:b w:val="0"/>
                <w:sz w:val="14"/>
              </w:rPr>
              <w:t>中</w:t>
            </w:r>
          </w:p>
        </w:tc>
        <w:tc>
          <w:tcPr>
            <w:tcW w:type="dxa" w:w="1872"/>
          </w:tcPr>
          <w:p>
            <w:r/>
            <w:r>
              <w:rPr>
                <w:rFonts w:ascii="Arial" w:hAnsi="Arial" w:eastAsia="微软雅黑"/>
                <w:b w:val="0"/>
                <w:sz w:val="14"/>
              </w:rPr>
              <w:t>低（采用方案1时）</w:t>
            </w:r>
          </w:p>
        </w:tc>
        <w:tc>
          <w:tcPr>
            <w:tcW w:type="dxa" w:w="1872"/>
          </w:tcPr>
          <w:p>
            <w:r/>
            <w:r>
              <w:rPr>
                <w:rFonts w:ascii="Arial" w:hAnsi="Arial" w:eastAsia="微软雅黑"/>
                <w:b w:val="0"/>
                <w:sz w:val="14"/>
              </w:rPr>
              <w:t>保留工龄连续性的三方协议</w:t>
            </w:r>
          </w:p>
        </w:tc>
      </w:tr>
      <w:tr>
        <w:tc>
          <w:tcPr>
            <w:tcW w:type="dxa" w:w="1872"/>
          </w:tcPr>
          <w:p>
            <w:r/>
            <w:r>
              <w:rPr>
                <w:rFonts w:ascii="Arial" w:hAnsi="Arial" w:eastAsia="微软雅黑"/>
                <w:b w:val="0"/>
                <w:sz w:val="14"/>
              </w:rPr>
              <w:t>9</w:t>
            </w:r>
          </w:p>
        </w:tc>
        <w:tc>
          <w:tcPr>
            <w:tcW w:type="dxa" w:w="1872"/>
          </w:tcPr>
          <w:p>
            <w:r/>
            <w:r>
              <w:rPr>
                <w:rFonts w:ascii="Arial" w:hAnsi="Arial" w:eastAsia="微软雅黑"/>
                <w:b w:val="0"/>
                <w:sz w:val="14"/>
              </w:rPr>
              <w:t>债务豁免被错误定性为应税债务重组收益而非资本投入，消耗亏损余额</w:t>
            </w:r>
          </w:p>
        </w:tc>
        <w:tc>
          <w:tcPr>
            <w:tcW w:type="dxa" w:w="1872"/>
          </w:tcPr>
          <w:p>
            <w:r/>
            <w:r>
              <w:rPr>
                <w:rFonts w:ascii="Arial" w:hAnsi="Arial" w:eastAsia="微软雅黑"/>
                <w:b w:val="0"/>
                <w:sz w:val="14"/>
              </w:rPr>
              <w:t>中</w:t>
            </w:r>
          </w:p>
        </w:tc>
        <w:tc>
          <w:tcPr>
            <w:tcW w:type="dxa" w:w="1872"/>
          </w:tcPr>
          <w:p>
            <w:r/>
            <w:r>
              <w:rPr>
                <w:rFonts w:ascii="Arial" w:hAnsi="Arial" w:eastAsia="微软雅黑"/>
                <w:b w:val="0"/>
                <w:sz w:val="14"/>
              </w:rPr>
              <w:t>中（如转让前文件记录不充分）</w:t>
            </w:r>
          </w:p>
        </w:tc>
        <w:tc>
          <w:tcPr>
            <w:tcW w:type="dxa" w:w="1872"/>
          </w:tcPr>
          <w:p>
            <w:r/>
            <w:r>
              <w:rPr>
                <w:rFonts w:ascii="Arial" w:hAnsi="Arial" w:eastAsia="微软雅黑"/>
                <w:b w:val="0"/>
                <w:sz w:val="14"/>
              </w:rPr>
              <w:t>以一致的董事会/股东/协议措辞将核销记录为转让前的资本投入；与税务官员进行事前沟通</w:t>
            </w:r>
          </w:p>
        </w:tc>
      </w:tr>
      <w:tr>
        <w:tc>
          <w:tcPr>
            <w:tcW w:type="dxa" w:w="1872"/>
          </w:tcPr>
          <w:p>
            <w:r/>
            <w:r>
              <w:rPr>
                <w:rFonts w:ascii="Arial" w:hAnsi="Arial" w:eastAsia="微软雅黑"/>
                <w:b w:val="0"/>
                <w:sz w:val="14"/>
              </w:rPr>
              <w:t>10</w:t>
            </w:r>
          </w:p>
        </w:tc>
        <w:tc>
          <w:tcPr>
            <w:tcW w:type="dxa" w:w="1872"/>
          </w:tcPr>
          <w:p>
            <w:r/>
            <w:r>
              <w:rPr>
                <w:rFonts w:ascii="Arial" w:hAnsi="Arial" w:eastAsia="微软雅黑"/>
                <w:b w:val="0"/>
                <w:sz w:val="14"/>
              </w:rPr>
              <w:t>对外支付合规问题延迟股权转让汇款</w:t>
            </w:r>
          </w:p>
        </w:tc>
        <w:tc>
          <w:tcPr>
            <w:tcW w:type="dxa" w:w="1872"/>
          </w:tcPr>
          <w:p>
            <w:r/>
            <w:r>
              <w:rPr>
                <w:rFonts w:ascii="Arial" w:hAnsi="Arial" w:eastAsia="微软雅黑"/>
                <w:b w:val="0"/>
                <w:sz w:val="14"/>
              </w:rPr>
              <w:t>低</w:t>
            </w:r>
          </w:p>
        </w:tc>
        <w:tc>
          <w:tcPr>
            <w:tcW w:type="dxa" w:w="1872"/>
          </w:tcPr>
          <w:p>
            <w:r/>
            <w:r>
              <w:rPr>
                <w:rFonts w:ascii="Arial" w:hAnsi="Arial" w:eastAsia="微软雅黑"/>
                <w:b w:val="0"/>
                <w:sz w:val="14"/>
              </w:rPr>
              <w:t>低</w:t>
            </w:r>
          </w:p>
        </w:tc>
        <w:tc>
          <w:tcPr>
            <w:tcW w:type="dxa" w:w="1872"/>
          </w:tcPr>
          <w:p>
            <w:r/>
            <w:r>
              <w:rPr>
                <w:rFonts w:ascii="Arial" w:hAnsi="Arial" w:eastAsia="微软雅黑"/>
                <w:b w:val="0"/>
                <w:sz w:val="14"/>
              </w:rPr>
              <w:t>在付款前准备好完税证明和银行文件</w:t>
            </w:r>
          </w:p>
        </w:tc>
      </w:tr>
      <w:tr>
        <w:tc>
          <w:tcPr>
            <w:tcW w:type="dxa" w:w="1872"/>
          </w:tcPr>
          <w:p>
            <w:r/>
            <w:r>
              <w:rPr>
                <w:rFonts w:ascii="Arial" w:hAnsi="Arial" w:eastAsia="微软雅黑"/>
                <w:b w:val="0"/>
                <w:sz w:val="14"/>
              </w:rPr>
              <w:t>11</w:t>
            </w:r>
          </w:p>
        </w:tc>
        <w:tc>
          <w:tcPr>
            <w:tcW w:type="dxa" w:w="1872"/>
          </w:tcPr>
          <w:p>
            <w:r/>
            <w:r>
              <w:rPr>
                <w:rFonts w:ascii="Arial" w:hAnsi="Arial" w:eastAsia="微软雅黑"/>
                <w:b w:val="0"/>
                <w:sz w:val="14"/>
              </w:rPr>
              <w:t>外管局外债申报未与资产转让同时完成，导致外管局记录与重组后账簿之间不一致</w:t>
            </w:r>
          </w:p>
        </w:tc>
        <w:tc>
          <w:tcPr>
            <w:tcW w:type="dxa" w:w="1872"/>
          </w:tcPr>
          <w:p>
            <w:r/>
            <w:r>
              <w:rPr>
                <w:rFonts w:ascii="Arial" w:hAnsi="Arial" w:eastAsia="微软雅黑"/>
                <w:b w:val="0"/>
                <w:sz w:val="14"/>
              </w:rPr>
              <w:t>低</w:t>
            </w:r>
          </w:p>
        </w:tc>
        <w:tc>
          <w:tcPr>
            <w:tcW w:type="dxa" w:w="1872"/>
          </w:tcPr>
          <w:p>
            <w:r/>
            <w:r>
              <w:rPr>
                <w:rFonts w:ascii="Arial" w:hAnsi="Arial" w:eastAsia="微软雅黑"/>
                <w:b w:val="0"/>
                <w:sz w:val="14"/>
              </w:rPr>
              <w:t>低–中</w:t>
            </w:r>
          </w:p>
        </w:tc>
        <w:tc>
          <w:tcPr>
            <w:tcW w:type="dxa" w:w="1872"/>
          </w:tcPr>
          <w:p>
            <w:r/>
            <w:r>
              <w:rPr>
                <w:rFonts w:ascii="Arial" w:hAnsi="Arial" w:eastAsia="微软雅黑"/>
                <w:b w:val="0"/>
                <w:sz w:val="14"/>
              </w:rPr>
              <w:t>通过银行外汇柜台在执行第二阶段时同步办理核销应收款的外管局注销以及外债从 aft苏州 重新登记至新公司</w:t>
            </w:r>
          </w:p>
        </w:tc>
      </w:tr>
    </w:tbl>
    <w:p>
      <w:r>
        <w:rPr>
          <w:rFonts w:ascii="Arial" w:hAnsi="Arial" w:eastAsia="微软雅黑"/>
          <w:b w:val="0"/>
          <w:i w:val="0"/>
          <w:sz w:val="20"/>
        </w:rPr>
      </w:r>
    </w:p>
    <w:p>
      <w:pPr>
        <w:pStyle w:val="Heading2"/>
      </w:pPr>
      <w:r>
        <w:rPr>
          <w:rFonts w:ascii="Arial" w:hAnsi="Arial" w:eastAsia="微软雅黑"/>
          <w:color w:val="003366"/>
        </w:rPr>
        <w:t>8.2 建议的后续步骤</w:t>
      </w:r>
    </w:p>
    <w:p>
      <w:r>
        <w:rPr>
          <w:rFonts w:ascii="Arial" w:hAnsi="Arial" w:eastAsia="微软雅黑"/>
          <w:b/>
          <w:i w:val="0"/>
          <w:sz w:val="20"/>
        </w:rPr>
        <w:t>立即（未来30日内）：</w:t>
      </w:r>
    </w:p>
    <w:p>
      <w:pPr>
        <w:pStyle w:val="ListBullet"/>
      </w:pPr>
      <w:r>
        <w:rPr>
          <w:rFonts w:ascii="Arial" w:hAnsi="Arial" w:eastAsia="微软雅黑"/>
          <w:sz w:val="20"/>
        </w:rPr>
        <w:t>1. 委托独立评估——汽车零部件业务和 aft苏州 100%/16% 股权。</w:t>
      </w:r>
    </w:p>
    <w:p>
      <w:pPr>
        <w:pStyle w:val="ListBullet"/>
      </w:pPr>
      <w:r>
        <w:rPr>
          <w:rFonts w:ascii="Arial" w:hAnsi="Arial" w:eastAsia="微软雅黑"/>
          <w:sz w:val="20"/>
        </w:rPr>
        <w:t>2. 协调设备所有权（《补充协议》第 1.8 条 vs. 账簿）。确定将向税务和海关当局呈现的立场。</w:t>
      </w:r>
    </w:p>
    <w:p>
      <w:pPr>
        <w:pStyle w:val="ListBullet"/>
      </w:pPr>
      <w:r>
        <w:rPr>
          <w:rFonts w:ascii="Arial" w:hAnsi="Arial" w:eastAsia="微软雅黑"/>
          <w:sz w:val="20"/>
        </w:rPr>
        <w:t>3. 进口设备的海关状态审查。</w:t>
      </w:r>
    </w:p>
    <w:p>
      <w:pPr>
        <w:pStyle w:val="ListBullet"/>
      </w:pPr>
      <w:r>
        <w:rPr>
          <w:rFonts w:ascii="Arial" w:hAnsi="Arial" w:eastAsia="微软雅黑"/>
          <w:sz w:val="20"/>
        </w:rPr>
        <w:t>4. 取得 aft GmbH 的德国税务居民身份证明。</w:t>
      </w:r>
    </w:p>
    <w:p>
      <w:pPr>
        <w:pStyle w:val="ListBullet"/>
      </w:pPr>
      <w:r>
        <w:rPr>
          <w:rFonts w:ascii="Arial" w:hAnsi="Arial" w:eastAsia="微软雅黑"/>
          <w:sz w:val="20"/>
        </w:rPr>
        <w:t>5. 按亏损产生年度和剩余结转年限调节以前年度税务亏损。</w:t>
      </w:r>
    </w:p>
    <w:p>
      <w:r>
        <w:rPr>
          <w:rFonts w:ascii="Arial" w:hAnsi="Arial" w:eastAsia="微软雅黑"/>
          <w:b/>
          <w:i w:val="0"/>
          <w:sz w:val="20"/>
        </w:rPr>
        <w:t>短期（30–90日）：</w:t>
      </w:r>
    </w:p>
    <w:p>
      <w:pPr>
        <w:pStyle w:val="ListBullet"/>
      </w:pPr>
      <w:r>
        <w:rPr>
          <w:rFonts w:ascii="Arial" w:hAnsi="Arial" w:eastAsia="微软雅黑"/>
          <w:sz w:val="20"/>
        </w:rPr>
        <w:t>6. 起草并最终确定交易文件（业务转让协议、三方劳动合同、股权转让协议、债务豁免契据）。</w:t>
      </w:r>
    </w:p>
    <w:p>
      <w:pPr>
        <w:pStyle w:val="ListBullet"/>
      </w:pPr>
      <w:r>
        <w:rPr>
          <w:rFonts w:ascii="Arial" w:hAnsi="Arial" w:eastAsia="微软雅黑"/>
          <w:sz w:val="20"/>
        </w:rPr>
        <w:t>7. 就资产重组增值税立场与 aft苏州 主管税务机关进行事前沟通。</w:t>
      </w:r>
    </w:p>
    <w:p>
      <w:pPr>
        <w:pStyle w:val="ListBullet"/>
      </w:pPr>
      <w:r>
        <w:rPr>
          <w:rFonts w:ascii="Arial" w:hAnsi="Arial" w:eastAsia="微软雅黑"/>
          <w:sz w:val="20"/>
        </w:rPr>
        <w:t>8. 通过补充函确认双方之间《补充协议》第 1.3 条的赔偿机制（总额 vs. 净额，包括滞纳金、罚款及任何评估差额）。</w:t>
      </w:r>
    </w:p>
    <w:p>
      <w:pPr>
        <w:pStyle w:val="ListBullet"/>
      </w:pPr>
      <w:r>
        <w:rPr>
          <w:rFonts w:ascii="Arial" w:hAnsi="Arial" w:eastAsia="微软雅黑"/>
          <w:sz w:val="20"/>
        </w:rPr>
        <w:t>9. 协调通过相关银行外汇柜台办理外债从 aft苏州 转移至 aft新公司 的外管局注销和登记申报，以及核销应收款的注销登记（见第 4.10 节）。</w:t>
      </w:r>
    </w:p>
    <w:p>
      <w:r>
        <w:rPr>
          <w:rFonts w:ascii="Arial" w:hAnsi="Arial" w:eastAsia="微软雅黑"/>
          <w:b w:val="0"/>
          <w:i w:val="0"/>
          <w:sz w:val="20"/>
        </w:rPr>
      </w:r>
    </w:p>
    <w:p>
      <w:pPr>
        <w:pStyle w:val="Heading2"/>
      </w:pPr>
      <w:r>
        <w:rPr>
          <w:rFonts w:ascii="Arial" w:hAnsi="Arial" w:eastAsia="微软雅黑"/>
          <w:color w:val="003366"/>
        </w:rPr>
        <w:t>免责声明</w:t>
      </w:r>
    </w:p>
    <w:p>
      <w:r>
        <w:rPr>
          <w:rFonts w:ascii="Arial" w:hAnsi="Arial" w:eastAsia="微软雅黑"/>
          <w:b w:val="0"/>
          <w:i w:val="0"/>
          <w:sz w:val="20"/>
        </w:rPr>
        <w:t>本报告由 MSA Consulting (Shanghai) Co., Ltd. 根据日期为 2026年1月26日的业务委托函范围内编制，作为中国税务咨询意见，基于 aft GmbH 提供的信息以及我们对截至本报告出具日适用的中国法律、法规和税收协定的理解。本报告仅供 aft automotive (Suzhou) Co., Ltd. 及其德国母公司集团的内部决策使用，不应被任何其他方依赖。本报告不涉及德国税务影响，亦不构成法律或估值意见。本报告不代表中国相关当局对税务处理的正式确认；具体结果可能因实施细节、法律或政策变化以及地方当局的解释或执法实践而有所不同。aft GmbH 应在实施之前或实施过程中，就交易文件及程序步骤寻求正式的中国法律意见，就德国方面的影响寻求德国税务顾问的意见，并就估值事项寻求合格评估机构的意见。</w:t>
      </w:r>
    </w:p>
    <w:p>
      <w:r>
        <w:rPr>
          <w:rFonts w:ascii="Arial" w:hAnsi="Arial" w:eastAsia="微软雅黑"/>
          <w:b w:val="0"/>
          <w:i w:val="0"/>
          <w:sz w:val="20"/>
        </w:rPr>
      </w:r>
    </w:p>
    <w:p>
      <w:r>
        <w:rPr>
          <w:rFonts w:ascii="Arial" w:hAnsi="Arial" w:eastAsia="微软雅黑"/>
          <w:b/>
          <w:i w:val="0"/>
          <w:sz w:val="20"/>
        </w:rPr>
        <w:t>地址：</w:t>
      </w:r>
    </w:p>
    <w:p>
      <w:r>
        <w:rPr>
          <w:rFonts w:ascii="Arial" w:hAnsi="Arial" w:eastAsia="微软雅黑"/>
          <w:b w:val="0"/>
          <w:i w:val="0"/>
          <w:sz w:val="20"/>
        </w:rPr>
        <w:t>MSA Consulting (Shanghai) Co., Ltd.</w:t>
      </w:r>
    </w:p>
    <w:p>
      <w:r>
        <w:rPr>
          <w:rFonts w:ascii="Arial" w:hAnsi="Arial" w:eastAsia="微软雅黑"/>
          <w:b w:val="0"/>
          <w:i w:val="0"/>
          <w:sz w:val="20"/>
        </w:rPr>
        <w:t>中国上海市黄浦区北京东路668号东楼21层A室，邮编 200001</w:t>
      </w:r>
    </w:p>
    <w:p>
      <w:r>
        <w:br w:type="page"/>
      </w:r>
    </w:p>
    <w:p>
      <w:pPr>
        <w:pStyle w:val="Heading1"/>
      </w:pPr>
      <w:r>
        <w:rPr>
          <w:rFonts w:ascii="Arial" w:hAnsi="Arial" w:eastAsia="微软雅黑"/>
          <w:color w:val="003366"/>
        </w:rPr>
        <w:t>附录A. 应税事件矩阵</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r/>
            <w:r>
              <w:rPr>
                <w:rFonts w:ascii="Arial" w:hAnsi="Arial" w:eastAsia="微软雅黑"/>
                <w:b/>
                <w:sz w:val="14"/>
              </w:rPr>
              <w:t>事件</w:t>
            </w:r>
          </w:p>
        </w:tc>
        <w:tc>
          <w:tcPr>
            <w:tcW w:type="dxa" w:w="1560"/>
          </w:tcPr>
          <w:p>
            <w:r/>
            <w:r>
              <w:rPr>
                <w:rFonts w:ascii="Arial" w:hAnsi="Arial" w:eastAsia="微软雅黑"/>
                <w:b/>
                <w:sz w:val="14"/>
              </w:rPr>
              <w:t>税种</w:t>
            </w:r>
          </w:p>
        </w:tc>
        <w:tc>
          <w:tcPr>
            <w:tcW w:type="dxa" w:w="1560"/>
          </w:tcPr>
          <w:p>
            <w:r/>
            <w:r>
              <w:rPr>
                <w:rFonts w:ascii="Arial" w:hAnsi="Arial" w:eastAsia="微软雅黑"/>
                <w:b/>
                <w:sz w:val="14"/>
              </w:rPr>
              <w:t>指示性税率</w:t>
            </w:r>
          </w:p>
        </w:tc>
        <w:tc>
          <w:tcPr>
            <w:tcW w:type="dxa" w:w="1560"/>
          </w:tcPr>
          <w:p>
            <w:r/>
            <w:r>
              <w:rPr>
                <w:rFonts w:ascii="Arial" w:hAnsi="Arial" w:eastAsia="微软雅黑"/>
                <w:b/>
                <w:sz w:val="14"/>
              </w:rPr>
              <w:t>纳税人</w:t>
            </w:r>
          </w:p>
        </w:tc>
        <w:tc>
          <w:tcPr>
            <w:tcW w:type="dxa" w:w="1560"/>
          </w:tcPr>
          <w:p>
            <w:r/>
            <w:r>
              <w:rPr>
                <w:rFonts w:ascii="Arial" w:hAnsi="Arial" w:eastAsia="微软雅黑"/>
                <w:b/>
                <w:sz w:val="14"/>
              </w:rPr>
              <w:t>扣缴义务人</w:t>
            </w:r>
          </w:p>
        </w:tc>
        <w:tc>
          <w:tcPr>
            <w:tcW w:type="dxa" w:w="1560"/>
          </w:tcPr>
          <w:p>
            <w:r/>
            <w:r>
              <w:rPr>
                <w:rFonts w:ascii="Arial" w:hAnsi="Arial" w:eastAsia="微软雅黑"/>
                <w:b/>
                <w:sz w:val="14"/>
              </w:rPr>
              <w:t>申报/截止期限</w:t>
            </w:r>
          </w:p>
        </w:tc>
      </w:tr>
      <w:tr>
        <w:tc>
          <w:tcPr>
            <w:tcW w:type="dxa" w:w="1560"/>
          </w:tcPr>
          <w:p>
            <w:r/>
            <w:r>
              <w:rPr>
                <w:rFonts w:ascii="Arial" w:hAnsi="Arial" w:eastAsia="微软雅黑"/>
                <w:b w:val="0"/>
                <w:sz w:val="13"/>
              </w:rPr>
              <w:t>资产转让 aft苏州 → aft新公司</w:t>
              <w:br/>
              <w:t>（资产重组立场）</w:t>
            </w:r>
          </w:p>
        </w:tc>
        <w:tc>
          <w:tcPr>
            <w:tcW w:type="dxa" w:w="1560"/>
          </w:tcPr>
          <w:p>
            <w:r/>
            <w:r>
              <w:rPr>
                <w:rFonts w:ascii="Arial" w:hAnsi="Arial" w:eastAsia="微软雅黑"/>
                <w:b w:val="0"/>
                <w:sz w:val="13"/>
              </w:rPr>
              <w:t>增值税</w:t>
            </w:r>
          </w:p>
        </w:tc>
        <w:tc>
          <w:tcPr>
            <w:tcW w:type="dxa" w:w="1560"/>
          </w:tcPr>
          <w:p>
            <w:r/>
            <w:r>
              <w:rPr>
                <w:rFonts w:ascii="Arial" w:hAnsi="Arial" w:eastAsia="微软雅黑"/>
                <w:b w:val="0"/>
                <w:sz w:val="13"/>
              </w:rPr>
              <w:t>不征税</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随业务转让协议向税务机关备案</w:t>
            </w:r>
          </w:p>
        </w:tc>
      </w:tr>
      <w:tr>
        <w:tc>
          <w:tcPr>
            <w:tcW w:type="dxa" w:w="1560"/>
          </w:tcPr>
          <w:p>
            <w:r/>
            <w:r>
              <w:rPr>
                <w:rFonts w:ascii="Arial" w:hAnsi="Arial" w:eastAsia="微软雅黑"/>
                <w:b w:val="0"/>
                <w:sz w:val="13"/>
              </w:rPr>
              <w:t>资产转让</w:t>
              <w:br/>
              <w:t>（备选方案：逐项）</w:t>
            </w:r>
          </w:p>
        </w:tc>
        <w:tc>
          <w:tcPr>
            <w:tcW w:type="dxa" w:w="1560"/>
          </w:tcPr>
          <w:p>
            <w:r/>
            <w:r>
              <w:rPr>
                <w:rFonts w:ascii="Arial" w:hAnsi="Arial" w:eastAsia="微软雅黑"/>
                <w:b w:val="0"/>
                <w:sz w:val="13"/>
              </w:rPr>
              <w:t>增值税</w:t>
            </w:r>
          </w:p>
        </w:tc>
        <w:tc>
          <w:tcPr>
            <w:tcW w:type="dxa" w:w="1560"/>
          </w:tcPr>
          <w:p>
            <w:r/>
            <w:r>
              <w:rPr>
                <w:rFonts w:ascii="Arial" w:hAnsi="Arial" w:eastAsia="微软雅黑"/>
                <w:b w:val="0"/>
                <w:sz w:val="13"/>
              </w:rPr>
              <w:t>13% / 6%</w:t>
              <w:br/>
              <w:t>（按类别）</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月度增值税申报</w:t>
            </w:r>
          </w:p>
        </w:tc>
      </w:tr>
      <w:tr>
        <w:tc>
          <w:tcPr>
            <w:tcW w:type="dxa" w:w="1560"/>
          </w:tcPr>
          <w:p>
            <w:r/>
            <w:r>
              <w:rPr>
                <w:rFonts w:ascii="Arial" w:hAnsi="Arial" w:eastAsia="微软雅黑"/>
                <w:b w:val="0"/>
                <w:sz w:val="13"/>
              </w:rPr>
              <w:t>资产转让——收益</w:t>
            </w:r>
          </w:p>
        </w:tc>
        <w:tc>
          <w:tcPr>
            <w:tcW w:type="dxa" w:w="1560"/>
          </w:tcPr>
          <w:p>
            <w:r/>
            <w:r>
              <w:rPr>
                <w:rFonts w:ascii="Arial" w:hAnsi="Arial" w:eastAsia="微软雅黑"/>
                <w:b w:val="0"/>
                <w:sz w:val="13"/>
              </w:rPr>
              <w:t>企业所得税</w:t>
            </w:r>
          </w:p>
        </w:tc>
        <w:tc>
          <w:tcPr>
            <w:tcW w:type="dxa" w:w="1560"/>
          </w:tcPr>
          <w:p>
            <w:r/>
            <w:r>
              <w:rPr>
                <w:rFonts w:ascii="Arial" w:hAnsi="Arial" w:eastAsia="微软雅黑"/>
                <w:b w:val="0"/>
                <w:sz w:val="13"/>
              </w:rPr>
              <w:t>收益的 25%</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年度企业所得税申报</w:t>
            </w:r>
          </w:p>
        </w:tc>
      </w:tr>
      <w:tr>
        <w:tc>
          <w:tcPr>
            <w:tcW w:type="dxa" w:w="1560"/>
          </w:tcPr>
          <w:p>
            <w:r/>
            <w:r>
              <w:rPr>
                <w:rFonts w:ascii="Arial" w:hAnsi="Arial" w:eastAsia="微软雅黑"/>
                <w:b w:val="0"/>
                <w:sz w:val="13"/>
              </w:rPr>
              <w:t>资产转让——印花税</w:t>
            </w:r>
          </w:p>
        </w:tc>
        <w:tc>
          <w:tcPr>
            <w:tcW w:type="dxa" w:w="1560"/>
          </w:tcPr>
          <w:p>
            <w:r/>
            <w:r>
              <w:rPr>
                <w:rFonts w:ascii="Arial" w:hAnsi="Arial" w:eastAsia="微软雅黑"/>
                <w:b w:val="0"/>
                <w:sz w:val="13"/>
              </w:rPr>
              <w:t>印花税</w:t>
            </w:r>
          </w:p>
        </w:tc>
        <w:tc>
          <w:tcPr>
            <w:tcW w:type="dxa" w:w="1560"/>
          </w:tcPr>
          <w:p>
            <w:r/>
            <w:r>
              <w:rPr>
                <w:rFonts w:ascii="Arial" w:hAnsi="Arial" w:eastAsia="微软雅黑"/>
                <w:b w:val="0"/>
                <w:sz w:val="13"/>
              </w:rPr>
              <w:t>对价的 0.05%</w:t>
            </w:r>
          </w:p>
        </w:tc>
        <w:tc>
          <w:tcPr>
            <w:tcW w:type="dxa" w:w="1560"/>
          </w:tcPr>
          <w:p>
            <w:r/>
            <w:r>
              <w:rPr>
                <w:rFonts w:ascii="Arial" w:hAnsi="Arial" w:eastAsia="微软雅黑"/>
                <w:b w:val="0"/>
                <w:sz w:val="13"/>
              </w:rPr>
              <w:t>aft苏州 +</w:t>
              <w:br/>
              <w:t>aft新公司</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签署时</w:t>
            </w:r>
          </w:p>
        </w:tc>
      </w:tr>
      <w:tr>
        <w:tc>
          <w:tcPr>
            <w:tcW w:type="dxa" w:w="1560"/>
          </w:tcPr>
          <w:p>
            <w:r/>
            <w:r>
              <w:rPr>
                <w:rFonts w:ascii="Arial" w:hAnsi="Arial" w:eastAsia="微软雅黑"/>
                <w:b w:val="0"/>
                <w:sz w:val="13"/>
              </w:rPr>
              <w:t>设备转让</w:t>
              <w:br/>
              <w:t>（如处于海关监管下）</w:t>
            </w:r>
          </w:p>
        </w:tc>
        <w:tc>
          <w:tcPr>
            <w:tcW w:type="dxa" w:w="1560"/>
          </w:tcPr>
          <w:p>
            <w:r/>
            <w:r>
              <w:rPr>
                <w:rFonts w:ascii="Arial" w:hAnsi="Arial" w:eastAsia="微软雅黑"/>
                <w:b w:val="0"/>
                <w:sz w:val="13"/>
              </w:rPr>
              <w:t>关税 +</w:t>
              <w:br/>
              <w:t>进口增值税</w:t>
            </w:r>
          </w:p>
        </w:tc>
        <w:tc>
          <w:tcPr>
            <w:tcW w:type="dxa" w:w="1560"/>
          </w:tcPr>
          <w:p>
            <w:r/>
            <w:r>
              <w:rPr>
                <w:rFonts w:ascii="Arial" w:hAnsi="Arial" w:eastAsia="微软雅黑"/>
                <w:b w:val="0"/>
                <w:sz w:val="13"/>
              </w:rPr>
              <w:t>按关税税则记录</w:t>
            </w:r>
          </w:p>
        </w:tc>
        <w:tc>
          <w:tcPr>
            <w:tcW w:type="dxa" w:w="1560"/>
          </w:tcPr>
          <w:p>
            <w:r/>
            <w:r>
              <w:rPr>
                <w:rFonts w:ascii="Arial" w:hAnsi="Arial" w:eastAsia="微软雅黑"/>
                <w:b w:val="0"/>
                <w:sz w:val="13"/>
              </w:rPr>
              <w:t>进口方</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转让前向海关申报</w:t>
            </w:r>
          </w:p>
        </w:tc>
      </w:tr>
      <w:tr>
        <w:tc>
          <w:tcPr>
            <w:tcW w:type="dxa" w:w="1560"/>
          </w:tcPr>
          <w:p>
            <w:r/>
            <w:r>
              <w:rPr>
                <w:rFonts w:ascii="Arial" w:hAnsi="Arial" w:eastAsia="微软雅黑"/>
                <w:b w:val="0"/>
                <w:sz w:val="13"/>
              </w:rPr>
              <w:t>债务豁免——场景1</w:t>
              <w:br/>
              <w:t>（股权转让前，资本投入结构）</w:t>
            </w:r>
          </w:p>
        </w:tc>
        <w:tc>
          <w:tcPr>
            <w:tcW w:type="dxa" w:w="1560"/>
          </w:tcPr>
          <w:p>
            <w:r/>
            <w:r>
              <w:rPr>
                <w:rFonts w:ascii="Arial" w:hAnsi="Arial" w:eastAsia="微软雅黑"/>
                <w:b w:val="0"/>
                <w:sz w:val="13"/>
              </w:rPr>
              <w:t>企业所得税</w:t>
            </w:r>
          </w:p>
        </w:tc>
        <w:tc>
          <w:tcPr>
            <w:tcW w:type="dxa" w:w="1560"/>
          </w:tcPr>
          <w:p>
            <w:r/>
            <w:r>
              <w:rPr>
                <w:rFonts w:ascii="Arial" w:hAnsi="Arial" w:eastAsia="微软雅黑"/>
                <w:b w:val="0"/>
                <w:sz w:val="13"/>
              </w:rPr>
              <w:t>不确认</w:t>
              <w:br/>
              <w:t>企业所得税</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记录于协议中；</w:t>
              <w:br/>
              <w:t>反映于会计处理</w:t>
            </w:r>
          </w:p>
        </w:tc>
      </w:tr>
      <w:tr>
        <w:tc>
          <w:tcPr>
            <w:tcW w:type="dxa" w:w="1560"/>
          </w:tcPr>
          <w:p>
            <w:r/>
            <w:r>
              <w:rPr>
                <w:rFonts w:ascii="Arial" w:hAnsi="Arial" w:eastAsia="微软雅黑"/>
                <w:b w:val="0"/>
                <w:sz w:val="13"/>
              </w:rPr>
              <w:t>债务豁免——场景2</w:t>
              <w:br/>
              <w:t>（股权转让后，债务重组收益）</w:t>
            </w:r>
          </w:p>
        </w:tc>
        <w:tc>
          <w:tcPr>
            <w:tcW w:type="dxa" w:w="1560"/>
          </w:tcPr>
          <w:p>
            <w:r/>
            <w:r>
              <w:rPr>
                <w:rFonts w:ascii="Arial" w:hAnsi="Arial" w:eastAsia="微软雅黑"/>
                <w:b w:val="0"/>
                <w:sz w:val="13"/>
              </w:rPr>
              <w:t>企业所得税</w:t>
            </w:r>
          </w:p>
        </w:tc>
        <w:tc>
          <w:tcPr>
            <w:tcW w:type="dxa" w:w="1560"/>
          </w:tcPr>
          <w:p>
            <w:r/>
            <w:r>
              <w:rPr>
                <w:rFonts w:ascii="Arial" w:hAnsi="Arial" w:eastAsia="微软雅黑"/>
                <w:b w:val="0"/>
                <w:sz w:val="13"/>
              </w:rPr>
              <w:t>收入的 25%；</w:t>
              <w:br/>
              <w:t>以亏损抵扣</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年度企业所得税申报</w:t>
            </w:r>
          </w:p>
        </w:tc>
      </w:tr>
      <w:tr>
        <w:tc>
          <w:tcPr>
            <w:tcW w:type="dxa" w:w="1560"/>
          </w:tcPr>
          <w:p>
            <w:r/>
            <w:r>
              <w:rPr>
                <w:rFonts w:ascii="Arial" w:hAnsi="Arial" w:eastAsia="微软雅黑"/>
                <w:b w:val="0"/>
                <w:sz w:val="13"/>
              </w:rPr>
              <w:t>员工转让</w:t>
              <w:br/>
              <w:t>（方案1——三方协议）</w:t>
            </w:r>
          </w:p>
        </w:tc>
        <w:tc>
          <w:tcPr>
            <w:tcW w:type="dxa" w:w="1560"/>
          </w:tcPr>
          <w:p>
            <w:r/>
            <w:r>
              <w:rPr>
                <w:rFonts w:ascii="Arial" w:hAnsi="Arial" w:eastAsia="微软雅黑"/>
                <w:b w:val="0"/>
                <w:sz w:val="13"/>
              </w:rPr>
              <w:t>个人所得税</w:t>
              <w:br/>
              <w:t>/社保</w:t>
            </w:r>
          </w:p>
        </w:tc>
        <w:tc>
          <w:tcPr>
            <w:tcW w:type="dxa" w:w="1560"/>
          </w:tcPr>
          <w:p>
            <w:r/>
            <w:r>
              <w:rPr>
                <w:rFonts w:ascii="Arial" w:hAnsi="Arial" w:eastAsia="微软雅黑"/>
                <w:b w:val="0"/>
                <w:sz w:val="13"/>
              </w:rPr>
              <w:t>不触发</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不适用</w:t>
            </w:r>
          </w:p>
        </w:tc>
      </w:tr>
      <w:tr>
        <w:tc>
          <w:tcPr>
            <w:tcW w:type="dxa" w:w="1560"/>
          </w:tcPr>
          <w:p>
            <w:r/>
            <w:r>
              <w:rPr>
                <w:rFonts w:ascii="Arial" w:hAnsi="Arial" w:eastAsia="微软雅黑"/>
                <w:b w:val="0"/>
                <w:sz w:val="13"/>
              </w:rPr>
              <w:t>员工转让</w:t>
              <w:br/>
              <w:t>（方案2——遣散费）</w:t>
            </w:r>
          </w:p>
        </w:tc>
        <w:tc>
          <w:tcPr>
            <w:tcW w:type="dxa" w:w="1560"/>
          </w:tcPr>
          <w:p>
            <w:r/>
            <w:r>
              <w:rPr>
                <w:rFonts w:ascii="Arial" w:hAnsi="Arial" w:eastAsia="微软雅黑"/>
                <w:b w:val="0"/>
                <w:sz w:val="13"/>
              </w:rPr>
              <w:t>个人所得税</w:t>
            </w:r>
          </w:p>
        </w:tc>
        <w:tc>
          <w:tcPr>
            <w:tcW w:type="dxa" w:w="1560"/>
          </w:tcPr>
          <w:p>
            <w:r/>
            <w:r>
              <w:rPr>
                <w:rFonts w:ascii="Arial" w:hAnsi="Arial" w:eastAsia="微软雅黑"/>
                <w:b w:val="0"/>
                <w:sz w:val="13"/>
              </w:rPr>
              <w:t>超过当地平均工资</w:t>
              <w:br/>
              <w:t>3倍部分的特别税率</w:t>
            </w:r>
          </w:p>
        </w:tc>
        <w:tc>
          <w:tcPr>
            <w:tcW w:type="dxa" w:w="1560"/>
          </w:tcPr>
          <w:p>
            <w:r/>
            <w:r>
              <w:rPr>
                <w:rFonts w:ascii="Arial" w:hAnsi="Arial" w:eastAsia="微软雅黑"/>
                <w:b w:val="0"/>
                <w:sz w:val="13"/>
              </w:rPr>
              <w:t>员工</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月度个人所得税申报</w:t>
            </w:r>
          </w:p>
        </w:tc>
      </w:tr>
      <w:tr>
        <w:tc>
          <w:tcPr>
            <w:tcW w:type="dxa" w:w="1560"/>
          </w:tcPr>
          <w:p>
            <w:r/>
            <w:r>
              <w:rPr>
                <w:rFonts w:ascii="Arial" w:hAnsi="Arial" w:eastAsia="微软雅黑"/>
                <w:b w:val="0"/>
                <w:sz w:val="13"/>
              </w:rPr>
              <w:t>16% 股权转让——收益</w:t>
            </w:r>
          </w:p>
        </w:tc>
        <w:tc>
          <w:tcPr>
            <w:tcW w:type="dxa" w:w="1560"/>
          </w:tcPr>
          <w:p>
            <w:r/>
            <w:r>
              <w:rPr>
                <w:rFonts w:ascii="Arial" w:hAnsi="Arial" w:eastAsia="微软雅黑"/>
                <w:b w:val="0"/>
                <w:sz w:val="13"/>
              </w:rPr>
              <w:t>非居民企业所得税</w:t>
              <w:br/>
              <w:t>（预提税）</w:t>
            </w:r>
          </w:p>
        </w:tc>
        <w:tc>
          <w:tcPr>
            <w:tcW w:type="dxa" w:w="1560"/>
          </w:tcPr>
          <w:p>
            <w:r/>
            <w:r>
              <w:rPr>
                <w:rFonts w:ascii="Arial" w:hAnsi="Arial" w:eastAsia="微软雅黑"/>
                <w:b w:val="0"/>
                <w:sz w:val="13"/>
              </w:rPr>
              <w:t>收益的 10%</w:t>
            </w:r>
          </w:p>
        </w:tc>
        <w:tc>
          <w:tcPr>
            <w:tcW w:type="dxa" w:w="1560"/>
          </w:tcPr>
          <w:p>
            <w:r/>
            <w:r>
              <w:rPr>
                <w:rFonts w:ascii="Arial" w:hAnsi="Arial" w:eastAsia="微软雅黑"/>
                <w:b w:val="0"/>
                <w:sz w:val="13"/>
              </w:rPr>
              <w:t>aft GmbH</w:t>
            </w:r>
          </w:p>
        </w:tc>
        <w:tc>
          <w:tcPr>
            <w:tcW w:type="dxa" w:w="1560"/>
          </w:tcPr>
          <w:p>
            <w:r/>
            <w:r>
              <w:rPr>
                <w:rFonts w:ascii="Arial" w:hAnsi="Arial" w:eastAsia="微软雅黑"/>
                <w:b w:val="0"/>
                <w:sz w:val="13"/>
              </w:rPr>
              <w:t>科泰</w:t>
            </w:r>
          </w:p>
        </w:tc>
        <w:tc>
          <w:tcPr>
            <w:tcW w:type="dxa" w:w="1560"/>
          </w:tcPr>
          <w:p>
            <w:r/>
            <w:r>
              <w:rPr>
                <w:rFonts w:ascii="Arial" w:hAnsi="Arial" w:eastAsia="微软雅黑"/>
                <w:b w:val="0"/>
                <w:sz w:val="13"/>
              </w:rPr>
              <w:t>对价付款后 7 日内</w:t>
            </w:r>
          </w:p>
        </w:tc>
      </w:tr>
      <w:tr>
        <w:tc>
          <w:tcPr>
            <w:tcW w:type="dxa" w:w="1560"/>
          </w:tcPr>
          <w:p>
            <w:r/>
            <w:r>
              <w:rPr>
                <w:rFonts w:ascii="Arial" w:hAnsi="Arial" w:eastAsia="微软雅黑"/>
                <w:b w:val="0"/>
                <w:sz w:val="13"/>
              </w:rPr>
              <w:t>股权转让——印花税</w:t>
            </w:r>
          </w:p>
        </w:tc>
        <w:tc>
          <w:tcPr>
            <w:tcW w:type="dxa" w:w="1560"/>
          </w:tcPr>
          <w:p>
            <w:r/>
            <w:r>
              <w:rPr>
                <w:rFonts w:ascii="Arial" w:hAnsi="Arial" w:eastAsia="微软雅黑"/>
                <w:b w:val="0"/>
                <w:sz w:val="13"/>
              </w:rPr>
              <w:t>印花税</w:t>
            </w:r>
          </w:p>
        </w:tc>
        <w:tc>
          <w:tcPr>
            <w:tcW w:type="dxa" w:w="1560"/>
          </w:tcPr>
          <w:p>
            <w:r/>
            <w:r>
              <w:rPr>
                <w:rFonts w:ascii="Arial" w:hAnsi="Arial" w:eastAsia="微软雅黑"/>
                <w:b w:val="0"/>
                <w:sz w:val="13"/>
              </w:rPr>
              <w:t>0.05%</w:t>
            </w:r>
          </w:p>
        </w:tc>
        <w:tc>
          <w:tcPr>
            <w:tcW w:type="dxa" w:w="1560"/>
          </w:tcPr>
          <w:p>
            <w:r/>
            <w:r>
              <w:rPr>
                <w:rFonts w:ascii="Arial" w:hAnsi="Arial" w:eastAsia="微软雅黑"/>
                <w:b w:val="0"/>
                <w:sz w:val="13"/>
              </w:rPr>
              <w:t>aft GmbH +</w:t>
              <w:br/>
              <w:t>科泰</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签署时</w:t>
            </w:r>
          </w:p>
        </w:tc>
      </w:tr>
      <w:tr>
        <w:tc>
          <w:tcPr>
            <w:tcW w:type="dxa" w:w="1560"/>
          </w:tcPr>
          <w:p>
            <w:r/>
            <w:r>
              <w:rPr>
                <w:rFonts w:ascii="Arial" w:hAnsi="Arial" w:eastAsia="微软雅黑"/>
                <w:b w:val="0"/>
                <w:sz w:val="13"/>
              </w:rPr>
              <w:t>租赁租金（持续）</w:t>
            </w:r>
          </w:p>
        </w:tc>
        <w:tc>
          <w:tcPr>
            <w:tcW w:type="dxa" w:w="1560"/>
          </w:tcPr>
          <w:p>
            <w:r/>
            <w:r>
              <w:rPr>
                <w:rFonts w:ascii="Arial" w:hAnsi="Arial" w:eastAsia="微软雅黑"/>
                <w:b w:val="0"/>
                <w:sz w:val="13"/>
              </w:rPr>
              <w:t>增值税</w:t>
            </w:r>
          </w:p>
        </w:tc>
        <w:tc>
          <w:tcPr>
            <w:tcW w:type="dxa" w:w="1560"/>
          </w:tcPr>
          <w:p>
            <w:r/>
            <w:r>
              <w:rPr>
                <w:rFonts w:ascii="Arial" w:hAnsi="Arial" w:eastAsia="微软雅黑"/>
                <w:b w:val="0"/>
                <w:sz w:val="13"/>
              </w:rPr>
              <w:t>租金的 9%</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月度增值税申报</w:t>
            </w:r>
          </w:p>
        </w:tc>
      </w:tr>
      <w:tr>
        <w:tc>
          <w:tcPr>
            <w:tcW w:type="dxa" w:w="1560"/>
          </w:tcPr>
          <w:p>
            <w:r/>
            <w:r>
              <w:rPr>
                <w:rFonts w:ascii="Arial" w:hAnsi="Arial" w:eastAsia="微软雅黑"/>
                <w:b w:val="0"/>
                <w:sz w:val="13"/>
              </w:rPr>
              <w:t>租赁租金（持续）</w:t>
            </w:r>
          </w:p>
        </w:tc>
        <w:tc>
          <w:tcPr>
            <w:tcW w:type="dxa" w:w="1560"/>
          </w:tcPr>
          <w:p>
            <w:r/>
            <w:r>
              <w:rPr>
                <w:rFonts w:ascii="Arial" w:hAnsi="Arial" w:eastAsia="微软雅黑"/>
                <w:b w:val="0"/>
                <w:sz w:val="13"/>
              </w:rPr>
              <w:t>企业所得税</w:t>
            </w:r>
          </w:p>
        </w:tc>
        <w:tc>
          <w:tcPr>
            <w:tcW w:type="dxa" w:w="1560"/>
          </w:tcPr>
          <w:p>
            <w:r/>
            <w:r>
              <w:rPr>
                <w:rFonts w:ascii="Arial" w:hAnsi="Arial" w:eastAsia="微软雅黑"/>
                <w:b w:val="0"/>
                <w:sz w:val="13"/>
              </w:rPr>
              <w:t>净收入的 25%</w:t>
            </w:r>
          </w:p>
        </w:tc>
        <w:tc>
          <w:tcPr>
            <w:tcW w:type="dxa" w:w="1560"/>
          </w:tcPr>
          <w:p>
            <w:r/>
            <w:r>
              <w:rPr>
                <w:rFonts w:ascii="Arial" w:hAnsi="Arial" w:eastAsia="微软雅黑"/>
                <w:b w:val="0"/>
                <w:sz w:val="13"/>
              </w:rPr>
              <w:t>aft苏州</w:t>
            </w:r>
          </w:p>
        </w:tc>
        <w:tc>
          <w:tcPr>
            <w:tcW w:type="dxa" w:w="1560"/>
          </w:tcPr>
          <w:p>
            <w:r/>
            <w:r>
              <w:rPr>
                <w:rFonts w:ascii="Arial" w:hAnsi="Arial" w:eastAsia="微软雅黑"/>
                <w:b w:val="0"/>
                <w:sz w:val="13"/>
              </w:rPr>
              <w:t>不适用</w:t>
            </w:r>
          </w:p>
        </w:tc>
        <w:tc>
          <w:tcPr>
            <w:tcW w:type="dxa" w:w="1560"/>
          </w:tcPr>
          <w:p>
            <w:r/>
            <w:r>
              <w:rPr>
                <w:rFonts w:ascii="Arial" w:hAnsi="Arial" w:eastAsia="微软雅黑"/>
                <w:b w:val="0"/>
                <w:sz w:val="13"/>
              </w:rPr>
              <w:t>年度企业所得税申报</w:t>
            </w:r>
          </w:p>
        </w:tc>
      </w:tr>
    </w:tbl>
    <w:p>
      <w:r>
        <w:br w:type="page"/>
      </w:r>
    </w:p>
    <w:p>
      <w:pPr>
        <w:pStyle w:val="Heading1"/>
      </w:pPr>
      <w:r>
        <w:rPr>
          <w:rFonts w:ascii="Arial" w:hAnsi="Arial" w:eastAsia="微软雅黑"/>
          <w:color w:val="003366"/>
        </w:rPr>
        <w:t>附录B. 资料来源与定义术语</w:t>
      </w:r>
    </w:p>
    <w:p>
      <w:r>
        <w:rPr>
          <w:rFonts w:ascii="Arial" w:hAnsi="Arial" w:eastAsia="微软雅黑"/>
          <w:b w:val="0"/>
          <w:i w:val="0"/>
          <w:sz w:val="20"/>
        </w:rPr>
        <w:t>正文中的引用使用简称。"国税总局[YYYY]第NN号"指国家税务总局发布的公告或通告；"财税[YYYY]第NN号"指财政部和国家税务总局联合发布的通知。完整标题、日期及各当局在本报告中的角色列示如下。中国税务规则变化频繁，后续指导文件可能随时出台。</w:t>
      </w:r>
    </w:p>
    <w:p>
      <w:pPr>
        <w:pStyle w:val="Heading2"/>
      </w:pPr>
      <w:r>
        <w:rPr>
          <w:rFonts w:ascii="Arial" w:hAnsi="Arial" w:eastAsia="微软雅黑"/>
          <w:color w:val="003366"/>
        </w:rPr>
        <w:t>引用的中国当局文件</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
              <w:rPr>
                <w:rFonts w:ascii="Arial" w:hAnsi="Arial" w:eastAsia="微软雅黑"/>
                <w:b/>
                <w:sz w:val="14"/>
              </w:rPr>
              <w:t>简称</w:t>
            </w:r>
          </w:p>
        </w:tc>
        <w:tc>
          <w:tcPr>
            <w:tcW w:type="dxa" w:w="3120"/>
          </w:tcPr>
          <w:p>
            <w:r/>
            <w:r>
              <w:rPr>
                <w:rFonts w:ascii="Arial" w:hAnsi="Arial" w:eastAsia="微软雅黑"/>
                <w:b/>
                <w:sz w:val="14"/>
              </w:rPr>
              <w:t>全称</w:t>
            </w:r>
          </w:p>
        </w:tc>
        <w:tc>
          <w:tcPr>
            <w:tcW w:type="dxa" w:w="3120"/>
          </w:tcPr>
          <w:p>
            <w:r/>
            <w:r>
              <w:rPr>
                <w:rFonts w:ascii="Arial" w:hAnsi="Arial" w:eastAsia="微软雅黑"/>
                <w:b/>
                <w:sz w:val="14"/>
              </w:rPr>
              <w:t>在本报告中的角色</w:t>
            </w:r>
          </w:p>
        </w:tc>
      </w:tr>
      <w:tr>
        <w:tc>
          <w:tcPr>
            <w:tcW w:type="dxa" w:w="3120"/>
          </w:tcPr>
          <w:p>
            <w:r/>
            <w:r>
              <w:rPr>
                <w:rFonts w:ascii="Arial" w:hAnsi="Arial" w:eastAsia="微软雅黑"/>
                <w:b w:val="0"/>
                <w:sz w:val="13"/>
              </w:rPr>
              <w:t>国税总局[2011]</w:t>
              <w:br/>
              <w:t>第13号</w:t>
            </w:r>
          </w:p>
        </w:tc>
        <w:tc>
          <w:tcPr>
            <w:tcW w:type="dxa" w:w="3120"/>
          </w:tcPr>
          <w:p>
            <w:r/>
            <w:r>
              <w:rPr>
                <w:rFonts w:ascii="Arial" w:hAnsi="Arial" w:eastAsia="微软雅黑"/>
                <w:b w:val="0"/>
                <w:sz w:val="13"/>
              </w:rPr>
              <w:t>国家税务总局关于资产重组增值税若干问题的公告</w:t>
            </w:r>
          </w:p>
        </w:tc>
        <w:tc>
          <w:tcPr>
            <w:tcW w:type="dxa" w:w="3120"/>
          </w:tcPr>
          <w:p>
            <w:r/>
            <w:r>
              <w:rPr>
                <w:rFonts w:ascii="Arial" w:hAnsi="Arial" w:eastAsia="微软雅黑"/>
                <w:b w:val="0"/>
                <w:sz w:val="13"/>
              </w:rPr>
              <w:t>主要依据——实物资产连同相关债权、债务和劳动力一并转让不属于增值税征税范围（第4.1节、第4.3节）</w:t>
            </w:r>
          </w:p>
        </w:tc>
      </w:tr>
      <w:tr>
        <w:tc>
          <w:tcPr>
            <w:tcW w:type="dxa" w:w="3120"/>
          </w:tcPr>
          <w:p>
            <w:r/>
            <w:r>
              <w:rPr>
                <w:rFonts w:ascii="Arial" w:hAnsi="Arial" w:eastAsia="微软雅黑"/>
                <w:b w:val="0"/>
                <w:sz w:val="13"/>
              </w:rPr>
              <w:t>国税总局[2013]</w:t>
              <w:br/>
              <w:t>第66号</w:t>
            </w:r>
          </w:p>
        </w:tc>
        <w:tc>
          <w:tcPr>
            <w:tcW w:type="dxa" w:w="3120"/>
          </w:tcPr>
          <w:p>
            <w:r/>
            <w:r>
              <w:rPr>
                <w:rFonts w:ascii="Arial" w:hAnsi="Arial" w:eastAsia="微软雅黑"/>
                <w:b w:val="0"/>
                <w:sz w:val="13"/>
              </w:rPr>
              <w:t>关于国税总局[2011]第13号公告在多步资产重组中适用问题的公告</w:t>
            </w:r>
          </w:p>
        </w:tc>
        <w:tc>
          <w:tcPr>
            <w:tcW w:type="dxa" w:w="3120"/>
          </w:tcPr>
          <w:p>
            <w:r/>
            <w:r>
              <w:rPr>
                <w:rFonts w:ascii="Arial" w:hAnsi="Arial" w:eastAsia="微软雅黑"/>
                <w:b w:val="0"/>
                <w:sz w:val="13"/>
              </w:rPr>
              <w:t>将[2011]第13号的处理延伸至多步转让，即同一受让方取得资产、债权、债务和劳动力（第4.1节）</w:t>
            </w:r>
          </w:p>
        </w:tc>
      </w:tr>
      <w:tr>
        <w:tc>
          <w:tcPr>
            <w:tcW w:type="dxa" w:w="3120"/>
          </w:tcPr>
          <w:p>
            <w:r/>
            <w:r>
              <w:rPr>
                <w:rFonts w:ascii="Arial" w:hAnsi="Arial" w:eastAsia="微软雅黑"/>
                <w:b w:val="0"/>
                <w:sz w:val="13"/>
              </w:rPr>
              <w:t>国税总局[2026]</w:t>
              <w:br/>
              <w:t>第13号</w:t>
            </w:r>
          </w:p>
        </w:tc>
        <w:tc>
          <w:tcPr>
            <w:tcW w:type="dxa" w:w="3120"/>
          </w:tcPr>
          <w:p>
            <w:r/>
            <w:r>
              <w:rPr>
                <w:rFonts w:ascii="Arial" w:hAnsi="Arial" w:eastAsia="微软雅黑"/>
                <w:b w:val="0"/>
                <w:sz w:val="13"/>
              </w:rPr>
              <w:t>关于明确资产重组增值税适用范围问题的公告</w:t>
            </w:r>
          </w:p>
        </w:tc>
        <w:tc>
          <w:tcPr>
            <w:tcW w:type="dxa" w:w="3120"/>
          </w:tcPr>
          <w:p>
            <w:r/>
            <w:r>
              <w:rPr>
                <w:rFonts w:ascii="Arial" w:hAnsi="Arial" w:eastAsia="微软雅黑"/>
                <w:b w:val="0"/>
                <w:sz w:val="13"/>
              </w:rPr>
              <w:t>明确标的物必须是"能够相对独立运营的经营性业务"；资产包须同时包含资产、债权、债务和员工；重组须具有合理商业目的（第4.1节）</w:t>
            </w:r>
          </w:p>
        </w:tc>
      </w:tr>
      <w:tr>
        <w:tc>
          <w:tcPr>
            <w:tcW w:type="dxa" w:w="3120"/>
          </w:tcPr>
          <w:p>
            <w:r/>
            <w:r>
              <w:rPr>
                <w:rFonts w:ascii="Arial" w:hAnsi="Arial" w:eastAsia="微软雅黑"/>
                <w:b w:val="0"/>
                <w:sz w:val="13"/>
              </w:rPr>
              <w:t>财税[2024]</w:t>
              <w:br/>
              <w:t>第14号</w:t>
            </w:r>
          </w:p>
        </w:tc>
        <w:tc>
          <w:tcPr>
            <w:tcW w:type="dxa" w:w="3120"/>
          </w:tcPr>
          <w:p>
            <w:r/>
            <w:r>
              <w:rPr>
                <w:rFonts w:ascii="Arial" w:hAnsi="Arial" w:eastAsia="微软雅黑"/>
                <w:b w:val="0"/>
                <w:sz w:val="13"/>
              </w:rPr>
              <w:t>财政部 国家税务总局关于企业改制重组及事业单位改制有关印花税政策的公告，2024年10月1日至2027年12月31日有效</w:t>
            </w:r>
          </w:p>
        </w:tc>
        <w:tc>
          <w:tcPr>
            <w:tcW w:type="dxa" w:w="3120"/>
          </w:tcPr>
          <w:p>
            <w:r/>
            <w:r>
              <w:rPr>
                <w:rFonts w:ascii="Arial" w:hAnsi="Arial" w:eastAsia="微软雅黑"/>
                <w:b w:val="0"/>
                <w:sz w:val="13"/>
              </w:rPr>
              <w:t>对符合条件的重组交易产权转移书据印花税免税。不适用于aft苏州→aft新公司的资产转让；在第4.4节分析。</w:t>
            </w:r>
          </w:p>
        </w:tc>
      </w:tr>
      <w:tr>
        <w:tc>
          <w:tcPr>
            <w:tcW w:type="dxa" w:w="3120"/>
          </w:tcPr>
          <w:p>
            <w:r/>
            <w:r>
              <w:rPr>
                <w:rFonts w:ascii="Arial" w:hAnsi="Arial" w:eastAsia="微软雅黑"/>
                <w:b w:val="0"/>
                <w:sz w:val="13"/>
              </w:rPr>
              <w:t>国税总局[2023]</w:t>
              <w:br/>
              <w:t>第51号</w:t>
            </w:r>
          </w:p>
        </w:tc>
        <w:tc>
          <w:tcPr>
            <w:tcW w:type="dxa" w:w="3120"/>
          </w:tcPr>
          <w:p>
            <w:r/>
            <w:r>
              <w:rPr>
                <w:rFonts w:ascii="Arial" w:hAnsi="Arial" w:eastAsia="微软雅黑"/>
                <w:b w:val="0"/>
                <w:sz w:val="13"/>
              </w:rPr>
              <w:t>关于符合条件的重组活动土地增值税问题的公告</w:t>
            </w:r>
          </w:p>
        </w:tc>
        <w:tc>
          <w:tcPr>
            <w:tcW w:type="dxa" w:w="3120"/>
          </w:tcPr>
          <w:p>
            <w:r/>
            <w:r>
              <w:rPr>
                <w:rFonts w:ascii="Arial" w:hAnsi="Arial" w:eastAsia="微软雅黑"/>
                <w:b w:val="0"/>
                <w:sz w:val="13"/>
              </w:rPr>
              <w:t>企业不属于房地产开发行业的，符合条件的重组不适用土地增值税（第4.5节）</w:t>
            </w:r>
          </w:p>
        </w:tc>
      </w:tr>
      <w:tr>
        <w:tc>
          <w:tcPr>
            <w:tcW w:type="dxa" w:w="3120"/>
          </w:tcPr>
          <w:p>
            <w:r/>
            <w:r>
              <w:rPr>
                <w:rFonts w:ascii="Arial" w:hAnsi="Arial" w:eastAsia="微软雅黑"/>
                <w:b w:val="0"/>
                <w:sz w:val="13"/>
              </w:rPr>
              <w:t>财税[2009]</w:t>
              <w:br/>
              <w:t>第59号</w:t>
            </w:r>
          </w:p>
        </w:tc>
        <w:tc>
          <w:tcPr>
            <w:tcW w:type="dxa" w:w="3120"/>
          </w:tcPr>
          <w:p>
            <w:r/>
            <w:r>
              <w:rPr>
                <w:rFonts w:ascii="Arial" w:hAnsi="Arial" w:eastAsia="微软雅黑"/>
                <w:b w:val="0"/>
                <w:sz w:val="13"/>
              </w:rPr>
              <w:t>财政部 国家税务总局关于企业重组业务企业所得税处理若干问题的通知</w:t>
            </w:r>
          </w:p>
        </w:tc>
        <w:tc>
          <w:tcPr>
            <w:tcW w:type="dxa" w:w="3120"/>
          </w:tcPr>
          <w:p>
            <w:r/>
            <w:r>
              <w:rPr>
                <w:rFonts w:ascii="Arial" w:hAnsi="Arial" w:eastAsia="微软雅黑"/>
                <w:b w:val="0"/>
                <w:sz w:val="13"/>
              </w:rPr>
              <w:t>特殊税务重组减免制度——计税基础延续、收益递延、部分亏损可迁移至分立实体，须满足规定条件（第5.6节）</w:t>
            </w:r>
          </w:p>
        </w:tc>
      </w:tr>
      <w:tr>
        <w:tc>
          <w:tcPr>
            <w:tcW w:type="dxa" w:w="3120"/>
          </w:tcPr>
          <w:p>
            <w:r/>
            <w:r>
              <w:rPr>
                <w:rFonts w:ascii="Arial" w:hAnsi="Arial" w:eastAsia="微软雅黑"/>
                <w:b w:val="0"/>
                <w:sz w:val="13"/>
              </w:rPr>
              <w:t>国税总局[2014]</w:t>
              <w:br/>
              <w:t>第67号</w:t>
            </w:r>
          </w:p>
        </w:tc>
        <w:tc>
          <w:tcPr>
            <w:tcW w:type="dxa" w:w="3120"/>
          </w:tcPr>
          <w:p>
            <w:r/>
            <w:r>
              <w:rPr>
                <w:rFonts w:ascii="Arial" w:hAnsi="Arial" w:eastAsia="微软雅黑"/>
                <w:b w:val="0"/>
                <w:sz w:val="13"/>
              </w:rPr>
              <w:t>股权转让所得个人所得税管理办法</w:t>
            </w:r>
          </w:p>
        </w:tc>
        <w:tc>
          <w:tcPr>
            <w:tcW w:type="dxa" w:w="3120"/>
          </w:tcPr>
          <w:p>
            <w:r/>
            <w:r>
              <w:rPr>
                <w:rFonts w:ascii="Arial" w:hAnsi="Arial" w:eastAsia="微软雅黑"/>
                <w:b w:val="0"/>
                <w:sz w:val="13"/>
              </w:rPr>
              <w:t>主要针对个人转让；分析原则（公允价值评估、低于公允价值转让的四类合理情形）在实践中适用于法人非居民转让（第5.2节）</w:t>
            </w:r>
          </w:p>
        </w:tc>
      </w:tr>
      <w:tr>
        <w:tc>
          <w:tcPr>
            <w:tcW w:type="dxa" w:w="3120"/>
          </w:tcPr>
          <w:p>
            <w:r/>
            <w:r>
              <w:rPr>
                <w:rFonts w:ascii="Arial" w:hAnsi="Arial" w:eastAsia="微软雅黑"/>
                <w:b w:val="0"/>
                <w:sz w:val="13"/>
              </w:rPr>
              <w:t>国税总局[2017]</w:t>
              <w:br/>
              <w:t>第37号</w:t>
            </w:r>
          </w:p>
        </w:tc>
        <w:tc>
          <w:tcPr>
            <w:tcW w:type="dxa" w:w="3120"/>
          </w:tcPr>
          <w:p>
            <w:r/>
            <w:r>
              <w:rPr>
                <w:rFonts w:ascii="Arial" w:hAnsi="Arial" w:eastAsia="微软雅黑"/>
                <w:b w:val="0"/>
                <w:sz w:val="13"/>
              </w:rPr>
              <w:t>国家税务总局关于非居民企业所得税源泉扣缴有关问题的公告</w:t>
            </w:r>
          </w:p>
        </w:tc>
        <w:tc>
          <w:tcPr>
            <w:tcW w:type="dxa" w:w="3120"/>
          </w:tcPr>
          <w:p>
            <w:r/>
            <w:r>
              <w:rPr>
                <w:rFonts w:ascii="Arial" w:hAnsi="Arial" w:eastAsia="微软雅黑"/>
                <w:b w:val="0"/>
                <w:sz w:val="13"/>
              </w:rPr>
              <w:t>10%非居民预提税对股权转让收益的操作机制；确定买方为扣缴义务人，申报窗口为7日（第5.1节）</w:t>
            </w:r>
          </w:p>
        </w:tc>
      </w:tr>
      <w:tr>
        <w:tc>
          <w:tcPr>
            <w:tcW w:type="dxa" w:w="3120"/>
          </w:tcPr>
          <w:p>
            <w:r/>
            <w:r>
              <w:rPr>
                <w:rFonts w:ascii="Arial" w:hAnsi="Arial" w:eastAsia="微软雅黑"/>
                <w:b w:val="0"/>
                <w:sz w:val="13"/>
              </w:rPr>
              <w:t>财税[2018]</w:t>
              <w:br/>
              <w:t>第164号</w:t>
            </w:r>
          </w:p>
        </w:tc>
        <w:tc>
          <w:tcPr>
            <w:tcW w:type="dxa" w:w="3120"/>
          </w:tcPr>
          <w:p>
            <w:r/>
            <w:r>
              <w:rPr>
                <w:rFonts w:ascii="Arial" w:hAnsi="Arial" w:eastAsia="微软雅黑"/>
                <w:b w:val="0"/>
                <w:sz w:val="13"/>
              </w:rPr>
              <w:t>财政部 国家税务总局关于个人所得税法修改后有关优惠政策衔接问题的通知，2019年1月1日生效</w:t>
            </w:r>
          </w:p>
        </w:tc>
        <w:tc>
          <w:tcPr>
            <w:tcW w:type="dxa" w:w="3120"/>
          </w:tcPr>
          <w:p>
            <w:r/>
            <w:r>
              <w:rPr>
                <w:rFonts w:ascii="Arial" w:hAnsi="Arial" w:eastAsia="微软雅黑"/>
                <w:b w:val="0"/>
                <w:sz w:val="13"/>
              </w:rPr>
              <w:t>遣散费的个人所得税处理：免征额最高为当地上年度职工平均工资的三倍；超出部分按综合所得税率表单独计税（第4.8节）</w:t>
            </w:r>
          </w:p>
        </w:tc>
      </w:tr>
      <w:tr>
        <w:tc>
          <w:tcPr>
            <w:tcW w:type="dxa" w:w="3120"/>
          </w:tcPr>
          <w:p>
            <w:r/>
            <w:r>
              <w:rPr>
                <w:rFonts w:ascii="Arial" w:hAnsi="Arial" w:eastAsia="微软雅黑"/>
                <w:b w:val="0"/>
                <w:sz w:val="13"/>
              </w:rPr>
              <w:t>财税[2022]</w:t>
              <w:br/>
              <w:t>第14号</w:t>
            </w:r>
          </w:p>
        </w:tc>
        <w:tc>
          <w:tcPr>
            <w:tcW w:type="dxa" w:w="3120"/>
          </w:tcPr>
          <w:p>
            <w:r/>
            <w:r>
              <w:rPr>
                <w:rFonts w:ascii="Arial" w:hAnsi="Arial" w:eastAsia="微软雅黑"/>
                <w:b w:val="0"/>
                <w:sz w:val="13"/>
              </w:rPr>
              <w:t>财政部 国家税务总局关于期末留抵退税制度的通知</w:t>
            </w:r>
          </w:p>
        </w:tc>
        <w:tc>
          <w:tcPr>
            <w:tcW w:type="dxa" w:w="3120"/>
          </w:tcPr>
          <w:p>
            <w:r/>
            <w:r>
              <w:rPr>
                <w:rFonts w:ascii="Arial" w:hAnsi="Arial" w:eastAsia="微软雅黑"/>
                <w:b w:val="0"/>
                <w:sz w:val="13"/>
              </w:rPr>
              <w:t>搁浅进项增值税留抵的退税路径（第6.2节）</w:t>
            </w:r>
          </w:p>
        </w:tc>
      </w:tr>
      <w:tr>
        <w:tc>
          <w:tcPr>
            <w:tcW w:type="dxa" w:w="3120"/>
          </w:tcPr>
          <w:p>
            <w:r/>
            <w:r>
              <w:rPr>
                <w:rFonts w:ascii="Arial" w:hAnsi="Arial" w:eastAsia="微软雅黑"/>
                <w:b w:val="0"/>
                <w:sz w:val="13"/>
              </w:rPr>
              <w:t>中德双重征税</w:t>
              <w:br/>
              <w:t>协定</w:t>
            </w:r>
          </w:p>
        </w:tc>
        <w:tc>
          <w:tcPr>
            <w:tcW w:type="dxa" w:w="3120"/>
          </w:tcPr>
          <w:p>
            <w:r/>
            <w:r>
              <w:rPr>
                <w:rFonts w:ascii="Arial" w:hAnsi="Arial" w:eastAsia="微软雅黑"/>
                <w:b w:val="0"/>
                <w:sz w:val="13"/>
              </w:rPr>
              <w:t>德意志联邦共和国和中华人民共和国对所得和财产避免双重征税的协定，2014年3月28日签署</w:t>
            </w:r>
          </w:p>
        </w:tc>
        <w:tc>
          <w:tcPr>
            <w:tcW w:type="dxa" w:w="3120"/>
          </w:tcPr>
          <w:p>
            <w:r/>
            <w:r>
              <w:rPr>
                <w:rFonts w:ascii="Arial" w:hAnsi="Arial" w:eastAsia="微软雅黑"/>
                <w:b w:val="0"/>
                <w:sz w:val="13"/>
              </w:rPr>
              <w:t>第13条第(5)款允许中国在非居民于转让前十二个月内持有≥25%的情况下对股权转让收益征税——此处减免不可用（第5.3节）</w:t>
            </w:r>
          </w:p>
        </w:tc>
      </w:tr>
      <w:tr>
        <w:tc>
          <w:tcPr>
            <w:tcW w:type="dxa" w:w="3120"/>
          </w:tcPr>
          <w:p>
            <w:r/>
            <w:r>
              <w:rPr>
                <w:rFonts w:ascii="Arial" w:hAnsi="Arial" w:eastAsia="微软雅黑"/>
                <w:b w:val="0"/>
                <w:sz w:val="13"/>
              </w:rPr>
              <w:t>《企业所得税法》</w:t>
              <w:br/>
              <w:t>（及其实施条例）</w:t>
            </w:r>
          </w:p>
        </w:tc>
        <w:tc>
          <w:tcPr>
            <w:tcW w:type="dxa" w:w="3120"/>
          </w:tcPr>
          <w:p>
            <w:r/>
            <w:r>
              <w:rPr>
                <w:rFonts w:ascii="Arial" w:hAnsi="Arial" w:eastAsia="微软雅黑"/>
                <w:b w:val="0"/>
                <w:sz w:val="13"/>
              </w:rPr>
              <w:t>《中华人民共和国企业所得税法》</w:t>
            </w:r>
          </w:p>
        </w:tc>
        <w:tc>
          <w:tcPr>
            <w:tcW w:type="dxa" w:w="3120"/>
          </w:tcPr>
          <w:p>
            <w:r/>
            <w:r>
              <w:rPr>
                <w:rFonts w:ascii="Arial" w:hAnsi="Arial" w:eastAsia="微软雅黑"/>
                <w:b w:val="0"/>
                <w:sz w:val="13"/>
              </w:rPr>
              <w:t>一般企业所得税框架：第3条和第19条（非居民纳税人）、第6条（应税收入，包括债务豁免）、第18条（亏损结转）、第25条（财产转让收入）、第37条（扣缴义务）、第47条（一般反避税）</w:t>
            </w:r>
          </w:p>
        </w:tc>
      </w:tr>
    </w:tbl>
    <w:p>
      <w:r>
        <w:rPr>
          <w:rFonts w:ascii="Arial" w:hAnsi="Arial" w:eastAsia="微软雅黑"/>
          <w:b w:val="0"/>
          <w:i w:val="0"/>
          <w:sz w:val="20"/>
        </w:rPr>
      </w:r>
    </w:p>
    <w:p>
      <w:pPr>
        <w:pStyle w:val="Heading2"/>
      </w:pPr>
      <w:r>
        <w:rPr>
          <w:rFonts w:ascii="Arial" w:hAnsi="Arial" w:eastAsia="微软雅黑"/>
          <w:color w:val="003366"/>
        </w:rPr>
        <w:t>定义术语</w:t>
      </w:r>
    </w:p>
    <w:p>
      <w:pPr>
        <w:pStyle w:val="ListBullet"/>
      </w:pPr>
      <w:r>
        <w:rPr>
          <w:rFonts w:ascii="Arial" w:hAnsi="Arial" w:eastAsia="微软雅黑"/>
          <w:sz w:val="20"/>
        </w:rPr>
        <w:t>AMR——市场监督管理局（中国公司登记机关）</w:t>
      </w:r>
    </w:p>
    <w:p>
      <w:pPr>
        <w:pStyle w:val="ListBullet"/>
      </w:pPr>
      <w:r>
        <w:rPr>
          <w:rFonts w:ascii="Arial" w:hAnsi="Arial" w:eastAsia="微软雅黑"/>
          <w:sz w:val="20"/>
        </w:rPr>
        <w:t>CIT——企业所得税</w:t>
      </w:r>
    </w:p>
    <w:p>
      <w:pPr>
        <w:pStyle w:val="ListBullet"/>
      </w:pPr>
      <w:r>
        <w:rPr>
          <w:rFonts w:ascii="Arial" w:hAnsi="Arial" w:eastAsia="微软雅黑"/>
          <w:sz w:val="20"/>
        </w:rPr>
        <w:t>发票——中国增值税制度下开具的官方税务发票</w:t>
      </w:r>
    </w:p>
    <w:p>
      <w:pPr>
        <w:pStyle w:val="ListBullet"/>
      </w:pPr>
      <w:r>
        <w:rPr>
          <w:rFonts w:ascii="Arial" w:hAnsi="Arial" w:eastAsia="微软雅黑"/>
          <w:sz w:val="20"/>
        </w:rPr>
        <w:t>IIT——个人所得税</w:t>
      </w:r>
    </w:p>
    <w:p>
      <w:pPr>
        <w:pStyle w:val="ListBullet"/>
      </w:pPr>
      <w:r>
        <w:rPr>
          <w:rFonts w:ascii="Arial" w:hAnsi="Arial" w:eastAsia="微软雅黑"/>
          <w:sz w:val="20"/>
        </w:rPr>
        <w:t>PRC——中华人民共和国</w:t>
      </w:r>
    </w:p>
    <w:p>
      <w:pPr>
        <w:pStyle w:val="ListBullet"/>
      </w:pPr>
      <w:r>
        <w:rPr>
          <w:rFonts w:ascii="Arial" w:hAnsi="Arial" w:eastAsia="微软雅黑"/>
          <w:sz w:val="20"/>
        </w:rPr>
        <w:t>SAT——国家税务总局</w:t>
      </w:r>
    </w:p>
    <w:p>
      <w:pPr>
        <w:pStyle w:val="ListBullet"/>
      </w:pPr>
      <w:r>
        <w:rPr>
          <w:rFonts w:ascii="Arial" w:hAnsi="Arial" w:eastAsia="微软雅黑"/>
          <w:sz w:val="20"/>
        </w:rPr>
        <w:t>SI——社会保险</w:t>
      </w:r>
    </w:p>
    <w:p>
      <w:pPr>
        <w:pStyle w:val="ListBullet"/>
      </w:pPr>
      <w:r>
        <w:rPr>
          <w:rFonts w:ascii="Arial" w:hAnsi="Arial" w:eastAsia="微软雅黑"/>
          <w:sz w:val="20"/>
        </w:rPr>
        <w:t>VAT——增值税</w:t>
      </w:r>
    </w:p>
    <w:p>
      <w:pPr>
        <w:pStyle w:val="ListBullet"/>
      </w:pPr>
      <w:r>
        <w:rPr>
          <w:rFonts w:ascii="Arial" w:hAnsi="Arial" w:eastAsia="微软雅黑"/>
          <w:sz w:val="20"/>
        </w:rPr>
        <w:t>WHT——预提税</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