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BE" w:rsidRPr="005C35BE" w:rsidRDefault="005C35BE" w:rsidP="005C35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</w:pPr>
      <w:proofErr w:type="spellStart"/>
      <w:r w:rsidRPr="005C35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  <w:t>PyCity</w:t>
      </w:r>
      <w:proofErr w:type="spellEnd"/>
      <w:r w:rsidRPr="005C35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  <w:t xml:space="preserve"> Schools Analysis</w:t>
      </w:r>
    </w:p>
    <w:p w:rsidR="00FD22D3" w:rsidRDefault="005C35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35BE">
        <w:rPr>
          <w:rFonts w:ascii="Times New Roman" w:hAnsi="Times New Roman" w:cs="Times New Roman"/>
          <w:sz w:val="24"/>
          <w:szCs w:val="24"/>
          <w:lang w:val="en-US"/>
        </w:rPr>
        <w:t>Fifteen schools w</w:t>
      </w:r>
      <w:r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Pr="005C35BE">
        <w:rPr>
          <w:rFonts w:ascii="Times New Roman" w:hAnsi="Times New Roman" w:cs="Times New Roman"/>
          <w:sz w:val="24"/>
          <w:szCs w:val="24"/>
          <w:lang w:val="en-US"/>
        </w:rPr>
        <w:t xml:space="preserve"> analyzed assessing school size, budgets and grades, in order to explore their effect on math scores,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C35BE">
        <w:rPr>
          <w:rFonts w:ascii="Times New Roman" w:hAnsi="Times New Roman" w:cs="Times New Roman"/>
          <w:sz w:val="24"/>
          <w:szCs w:val="24"/>
          <w:lang w:val="en-US"/>
        </w:rPr>
        <w:t>eading scores and overall passing.</w:t>
      </w:r>
    </w:p>
    <w:p w:rsidR="005C35BE" w:rsidRDefault="005C35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Generally, average math score (78.99), were lower than average reading scores (81.88).</w:t>
      </w:r>
    </w:p>
    <w:p w:rsidR="005C35BE" w:rsidRDefault="005C35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best performing school was Cabrera High School with an overall passing rate of 95.59%, while the worst performing school was </w:t>
      </w:r>
      <w:r w:rsidRPr="005C35BE">
        <w:rPr>
          <w:rFonts w:ascii="Times New Roman" w:hAnsi="Times New Roman" w:cs="Times New Roman"/>
          <w:sz w:val="24"/>
          <w:szCs w:val="24"/>
          <w:lang w:val="en-US"/>
        </w:rPr>
        <w:t>Rodriguez High School</w:t>
      </w:r>
      <w:r>
        <w:rPr>
          <w:rFonts w:ascii="Times New Roman" w:hAnsi="Times New Roman" w:cs="Times New Roman"/>
          <w:sz w:val="24"/>
          <w:szCs w:val="24"/>
          <w:lang w:val="en-US"/>
        </w:rPr>
        <w:t>, with an overall passing rate of 73.29%.</w:t>
      </w:r>
    </w:p>
    <w:p w:rsidR="004F5AD8" w:rsidRDefault="004F5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Small (94.82%) and medium sized schools (95.20%) had higher overall passing rates than large schools (76.36%). </w:t>
      </w:r>
    </w:p>
    <w:p w:rsidR="004F5AD8" w:rsidRDefault="004F5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Charter schools had higher overall passing rates (95.10%) than District schools (73.67%).</w:t>
      </w:r>
    </w:p>
    <w:p w:rsidR="004F5AD8" w:rsidRDefault="004F5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higher per student budget (e.g. $650-$675 Dollars) did not produce higher overall passing rates (73.65%). Schools with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per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 budget of $600-$625 had the highest overall passing rate (95.27%).</w:t>
      </w:r>
    </w:p>
    <w:p w:rsidR="004F5AD8" w:rsidRDefault="001F4D6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there were no noticeable differences between the scholar grade and passing.</w:t>
      </w:r>
    </w:p>
    <w:p w:rsidR="001F4D61" w:rsidRDefault="001F4D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conclusion, school size and type seem to be more significant than Budget per Student.</w:t>
      </w:r>
    </w:p>
    <w:p w:rsidR="005C35BE" w:rsidRPr="005C35BE" w:rsidRDefault="005C35B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C35BE" w:rsidRPr="005C3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BE"/>
    <w:rsid w:val="001F4D61"/>
    <w:rsid w:val="004F5AD8"/>
    <w:rsid w:val="005C35BE"/>
    <w:rsid w:val="00FD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C054"/>
  <w15:chartTrackingRefBased/>
  <w15:docId w15:val="{860524F6-DEE1-4251-B9D8-BAA1178E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C35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35B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4049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1</cp:revision>
  <dcterms:created xsi:type="dcterms:W3CDTF">2018-12-07T19:51:00Z</dcterms:created>
  <dcterms:modified xsi:type="dcterms:W3CDTF">2018-12-10T15:20:00Z</dcterms:modified>
</cp:coreProperties>
</file>