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Xarxes neuronals vs programes artificials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Abans de començar…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Matrius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Vectors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Matrius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Operacions bàsiques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Suma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Multiplicació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Transposició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Colors “RGB”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Portes lògiques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 funciona una xarxa neuronal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perceptró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Feedforward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Backpropagation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Aprenentatge supervisat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Usos del perceptró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Perceptró per prediccions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Perceptró per classificacions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Limitacions del perceptró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Xarxes neuronals artificials (XNA)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Estructura de les XNA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Funcionament de les XNA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Feedforward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Softmax function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Backpropagation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Aprenentatge supervisat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Càlcul de l’error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Càlcul del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Conceptes bàsics de programació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 què consisteix la programació?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HTML i JavaScript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TensorFlow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Les xarxes neuronals i el futur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Creació d’una xarxa neuronal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Metodologia utilitzada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Principals problemes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Programació de la xarxa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