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00000"/>
          <w:sz w:val="32"/>
          <w:szCs w:val="32"/>
        </w:rPr>
        <w:t xml:space="preserve">Proyecto final: Grupo B2 – Estrategias</w:t>
      </w:r>
    </w:p>
    <w:p>
      <w:pPr>
        <w:spacing w:after="200"/>
      </w:pPr>
      <w:r>
        <w:rPr>
          <w:rFonts w:ascii="Calibri" w:cs="Calibri" w:eastAsia="Calibri" w:hAnsi="Calibri"/>
          <w:color w:val="000000"/>
          <w:sz w:val="24"/>
          <w:szCs w:val="24"/>
        </w:rPr>
        <w:t xml:space="preserve">Marco teórico</w:t>
      </w:r>
    </w:p>
    <w:p>
      <w:pPr>
        <w:pStyle w:val="Heading2"/>
        <w:spacing w:after="100" w:before="200"/>
      </w:pPr>
      <w:r>
        <w:rPr>
          <w:rFonts w:ascii="Calibri" w:cs="Calibri" w:eastAsia="Calibri" w:hAnsi="Calibri"/>
          <w:b/>
          <w:bCs/>
          <w:color w:val="000000"/>
          <w:sz w:val="24"/>
          <w:szCs w:val="24"/>
        </w:rPr>
        <w:t xml:space="preserve">Experiencia y estrategia</w:t>
      </w:r>
    </w:p>
    <w:p>
      <w:pPr>
        <w:spacing w:after="140" w:line="276"/>
        <w:jc w:val="both"/>
      </w:pPr>
      <w:r>
        <w:rPr>
          <w:rFonts w:ascii="Calibri" w:cs="Calibri" w:eastAsia="Calibri" w:hAnsi="Calibri"/>
          <w:sz w:val="22"/>
          <w:szCs w:val="22"/>
        </w:rPr>
        <w:t xml:space="preserve">Las cafeterías compiten cada vez más por la experiencia que ofrecen. Nadiri y Gunay (2013), con 450 clientes jóvenes de una cadena en el norte de Chipre, encontraron que algunos componentes de la experiencia y de la calidad percibida influyen en la experiencia del cliente, y que la satisfacción se asocia con recomendar y volver. Rashid, Nika y Thomas (2021), con 387 clientes, hallaron que el encuentro de servicio se relaciona con el valor experiencial y la lealtad. Con esta base, agrupamos las estrategias de las cafeterías en tres factores: ambiente, interacción con el personal y experiencia de consumo.</w:t>
      </w:r>
    </w:p>
    <w:p>
      <w:pPr>
        <w:pStyle w:val="Heading2"/>
        <w:spacing w:after="100" w:before="200"/>
      </w:pPr>
      <w:r>
        <w:rPr>
          <w:rFonts w:ascii="Calibri" w:cs="Calibri" w:eastAsia="Calibri" w:hAnsi="Calibri"/>
          <w:b/>
          <w:bCs/>
          <w:color w:val="000000"/>
          <w:sz w:val="24"/>
          <w:szCs w:val="24"/>
        </w:rPr>
        <w:t xml:space="preserve">Ambiente</w:t>
      </w:r>
    </w:p>
    <w:p>
      <w:pPr>
        <w:spacing w:after="140" w:line="276"/>
        <w:jc w:val="both"/>
      </w:pPr>
      <w:r>
        <w:rPr>
          <w:rFonts w:ascii="Calibri" w:cs="Calibri" w:eastAsia="Calibri" w:hAnsi="Calibri"/>
          <w:sz w:val="22"/>
          <w:szCs w:val="22"/>
        </w:rPr>
        <w:t xml:space="preserve">Según Bitner (1992), el entorno físico influye en el comportamiento de clientes y empleados y puede usarse estratégicamente. En cafeterías la evidencia es mixta: Kim y Kim (2019), con 195 estudiantes, encontraron que la calidad del café y del servicio influyeron en la satisfacción, pero el ambiente no tuvo una asociación significativa. Por eso el ambiente debe tratarse como una pregunta abierta.</w:t>
      </w:r>
    </w:p>
    <w:p>
      <w:pPr>
        <w:pStyle w:val="Heading2"/>
        <w:spacing w:after="100" w:before="200"/>
      </w:pPr>
      <w:r>
        <w:rPr>
          <w:rFonts w:ascii="Calibri" w:cs="Calibri" w:eastAsia="Calibri" w:hAnsi="Calibri"/>
          <w:b/>
          <w:bCs/>
          <w:color w:val="000000"/>
          <w:sz w:val="24"/>
          <w:szCs w:val="24"/>
        </w:rPr>
        <w:t xml:space="preserve">Interacción con el personal</w:t>
      </w:r>
    </w:p>
    <w:p>
      <w:pPr>
        <w:spacing w:after="140" w:line="276"/>
        <w:jc w:val="both"/>
      </w:pPr>
      <w:r>
        <w:rPr>
          <w:rFonts w:ascii="Calibri" w:cs="Calibri" w:eastAsia="Calibri" w:hAnsi="Calibri"/>
          <w:sz w:val="22"/>
          <w:szCs w:val="22"/>
        </w:rPr>
        <w:t xml:space="preserve">El personal aparece como un elemento central. Además de Rashid et al. (2021), Mendoza Serna (2018) reportó en Maracaibo que los participantes lo valoraban como el proveedor de experiencia más importante, aunque con solo 12 personas. Haktanir y Gullu (2024), en un estudio cualitativo de dos cafeterías, encontraron que la red social entre clientes y empleados explica en parte las visitas repetidas.</w:t>
      </w:r>
    </w:p>
    <w:p>
      <w:pPr>
        <w:pStyle w:val="Heading2"/>
        <w:spacing w:after="100" w:before="200"/>
      </w:pPr>
      <w:r>
        <w:rPr>
          <w:rFonts w:ascii="Calibri" w:cs="Calibri" w:eastAsia="Calibri" w:hAnsi="Calibri"/>
          <w:b/>
          <w:bCs/>
          <w:color w:val="000000"/>
          <w:sz w:val="24"/>
          <w:szCs w:val="24"/>
        </w:rPr>
        <w:t xml:space="preserve">Frecuencia de visita y gasto</w:t>
      </w:r>
    </w:p>
    <w:p>
      <w:pPr>
        <w:spacing w:after="140" w:line="276"/>
        <w:jc w:val="both"/>
      </w:pPr>
      <w:r>
        <w:rPr>
          <w:rFonts w:ascii="Calibri" w:cs="Calibri" w:eastAsia="Calibri" w:hAnsi="Calibri"/>
          <w:sz w:val="22"/>
          <w:szCs w:val="22"/>
        </w:rPr>
        <w:t xml:space="preserve">La mayoría de estudios mide lealtad o intención de volver, no el comportamiento. Kim (2022) es el más cercano a nuestras variables: asocia la satisfacción con el dinero que el cliente está dispuesto a gastar y con la frecuencia de visita. Kim y Kim (2019) añaden que la recompra depende más del hábito que de la intención, y Haktanir y Gullu (2024) señalan el sentido de pertenencia y la sensación de hogar. La frecuencia, entonces, responde tanto a la experiencia como a factores sociales y de hábito.</w:t>
      </w:r>
    </w:p>
    <w:p>
      <w:pPr>
        <w:pStyle w:val="Heading2"/>
        <w:spacing w:after="100" w:before="200"/>
      </w:pPr>
      <w:r>
        <w:rPr>
          <w:rFonts w:ascii="Calibri" w:cs="Calibri" w:eastAsia="Calibri" w:hAnsi="Calibri"/>
          <w:b/>
          <w:bCs/>
          <w:color w:val="000000"/>
          <w:sz w:val="24"/>
          <w:szCs w:val="24"/>
        </w:rPr>
        <w:t xml:space="preserve">Vacíos y relación con el proyecto</w:t>
      </w:r>
    </w:p>
    <w:p>
      <w:pPr>
        <w:spacing w:after="140" w:line="276"/>
        <w:jc w:val="both"/>
      </w:pPr>
      <w:r>
        <w:rPr>
          <w:rFonts w:ascii="Calibri" w:cs="Calibri" w:eastAsia="Calibri" w:hAnsi="Calibri"/>
          <w:sz w:val="22"/>
          <w:szCs w:val="22"/>
        </w:rPr>
        <w:t xml:space="preserve">La evidencia viene sobre todo de otros países, usa muestras de conveniencia y mide intenciones. Faltan comparaciones entre cafeterías de una misma zona de Bogotá que relacionen sus estrategias con la frecuencia y el gasto de sus clientes. Nuestra pregunta busca llenar ese vacío; la teoría de cambio que conecta los tres factores con los datos está en el documento de la Entrega 1.</w:t>
      </w:r>
    </w:p>
    <w:p>
      <w:pPr>
        <w:pStyle w:val="Heading2"/>
        <w:spacing w:after="100" w:before="200"/>
      </w:pPr>
      <w:r>
        <w:rPr>
          <w:rFonts w:ascii="Calibri" w:cs="Calibri" w:eastAsia="Calibri" w:hAnsi="Calibri"/>
          <w:b/>
          <w:bCs/>
          <w:color w:val="000000"/>
          <w:sz w:val="24"/>
          <w:szCs w:val="24"/>
        </w:rPr>
        <w:t xml:space="preserve">Referencias</w:t>
      </w:r>
    </w:p>
    <w:p>
      <w:pPr>
        <w:spacing w:after="100"/>
        <w:ind w:left="720" w:hanging="720"/>
      </w:pPr>
      <w:r>
        <w:rPr>
          <w:rFonts w:ascii="Calibri" w:cs="Calibri" w:eastAsia="Calibri" w:hAnsi="Calibri"/>
          <w:sz w:val="22"/>
          <w:szCs w:val="22"/>
        </w:rPr>
        <w:t xml:space="preserve">Bitner, M. J. (1992). Servicescapes: The impact of physical surroundings on customers and employees. </w:t>
      </w:r>
      <w:r>
        <w:rPr>
          <w:rFonts w:ascii="Calibri" w:cs="Calibri" w:eastAsia="Calibri" w:hAnsi="Calibri"/>
          <w:i/>
          <w:iCs/>
          <w:sz w:val="22"/>
          <w:szCs w:val="22"/>
        </w:rPr>
        <w:t xml:space="preserve">Journal of Marketing, 56</w:t>
      </w:r>
      <w:r>
        <w:rPr>
          <w:rFonts w:ascii="Calibri" w:cs="Calibri" w:eastAsia="Calibri" w:hAnsi="Calibri"/>
          <w:sz w:val="22"/>
          <w:szCs w:val="22"/>
        </w:rPr>
        <w:t xml:space="preserve">(2), 57–71. https://doi.org/10.1177/002224299205600205</w:t>
      </w:r>
    </w:p>
    <w:p>
      <w:pPr>
        <w:spacing w:after="100"/>
        <w:ind w:left="720" w:hanging="720"/>
      </w:pPr>
      <w:r>
        <w:rPr>
          <w:rFonts w:ascii="Calibri" w:cs="Calibri" w:eastAsia="Calibri" w:hAnsi="Calibri"/>
          <w:sz w:val="22"/>
          <w:szCs w:val="22"/>
        </w:rPr>
        <w:t xml:space="preserve">Haktanir, M., &amp; Gullu, E. (2024). Place attachment in coffee shops: A customer perspective study in North Cyprus. </w:t>
      </w:r>
      <w:r>
        <w:rPr>
          <w:rFonts w:ascii="Calibri" w:cs="Calibri" w:eastAsia="Calibri" w:hAnsi="Calibri"/>
          <w:i/>
          <w:iCs/>
          <w:sz w:val="22"/>
          <w:szCs w:val="22"/>
        </w:rPr>
        <w:t xml:space="preserve">Journal of Hospitality and Tourism Insights, 7</w:t>
      </w:r>
      <w:r>
        <w:rPr>
          <w:rFonts w:ascii="Calibri" w:cs="Calibri" w:eastAsia="Calibri" w:hAnsi="Calibri"/>
          <w:sz w:val="22"/>
          <w:szCs w:val="22"/>
        </w:rPr>
        <w:t xml:space="preserve">(1), 312–328. https://doi.org/10.1108/JHTI-05-2022-0185</w:t>
      </w:r>
    </w:p>
    <w:p>
      <w:pPr>
        <w:spacing w:after="100"/>
        <w:ind w:left="720" w:hanging="720"/>
      </w:pPr>
      <w:r>
        <w:rPr>
          <w:rFonts w:ascii="Calibri" w:cs="Calibri" w:eastAsia="Calibri" w:hAnsi="Calibri"/>
          <w:sz w:val="22"/>
          <w:szCs w:val="22"/>
        </w:rPr>
        <w:t xml:space="preserve">Kim, B., &amp; Kim, D. (2019). A longitudinal study of habit and its antecedents in coffee chain patronage. </w:t>
      </w:r>
      <w:r>
        <w:rPr>
          <w:rFonts w:ascii="Calibri" w:cs="Calibri" w:eastAsia="Calibri" w:hAnsi="Calibri"/>
          <w:i/>
          <w:iCs/>
          <w:sz w:val="22"/>
          <w:szCs w:val="22"/>
        </w:rPr>
        <w:t xml:space="preserve">Social Behavior and Personality, 47</w:t>
      </w:r>
      <w:r>
        <w:rPr>
          <w:rFonts w:ascii="Calibri" w:cs="Calibri" w:eastAsia="Calibri" w:hAnsi="Calibri"/>
          <w:sz w:val="22"/>
          <w:szCs w:val="22"/>
        </w:rPr>
        <w:t xml:space="preserve">(3), e7519. https://doi.org/10.2224/sbp.7519</w:t>
      </w:r>
    </w:p>
    <w:p>
      <w:pPr>
        <w:spacing w:after="100"/>
        <w:ind w:left="720" w:hanging="720"/>
      </w:pPr>
      <w:r>
        <w:rPr>
          <w:rFonts w:ascii="Calibri" w:cs="Calibri" w:eastAsia="Calibri" w:hAnsi="Calibri"/>
          <w:sz w:val="22"/>
          <w:szCs w:val="22"/>
        </w:rPr>
        <w:t xml:space="preserve">Kim, J. (2022). Structural relationships of cognitive, emotional, and behavioral evaluations of coffee shops. </w:t>
      </w:r>
      <w:r>
        <w:rPr>
          <w:rFonts w:ascii="Calibri" w:cs="Calibri" w:eastAsia="Calibri" w:hAnsi="Calibri"/>
          <w:i/>
          <w:iCs/>
          <w:sz w:val="22"/>
          <w:szCs w:val="22"/>
        </w:rPr>
        <w:t xml:space="preserve">The Korean Journal of Franchise Management, 13</w:t>
      </w:r>
      <w:r>
        <w:rPr>
          <w:rFonts w:ascii="Calibri" w:cs="Calibri" w:eastAsia="Calibri" w:hAnsi="Calibri"/>
          <w:sz w:val="22"/>
          <w:szCs w:val="22"/>
        </w:rPr>
        <w:t xml:space="preserve">(3), 31–43.</w:t>
      </w:r>
    </w:p>
    <w:p>
      <w:pPr>
        <w:spacing w:after="100"/>
        <w:ind w:left="720" w:hanging="720"/>
      </w:pPr>
      <w:r>
        <w:rPr>
          <w:rFonts w:ascii="Calibri" w:cs="Calibri" w:eastAsia="Calibri" w:hAnsi="Calibri"/>
          <w:sz w:val="22"/>
          <w:szCs w:val="22"/>
        </w:rPr>
        <w:t xml:space="preserve">Mendoza Serna, J. E. (2018). Marketing experiencial para la fidelización de los clientes en los cafés gourmet. </w:t>
      </w:r>
      <w:r>
        <w:rPr>
          <w:rFonts w:ascii="Calibri" w:cs="Calibri" w:eastAsia="Calibri" w:hAnsi="Calibri"/>
          <w:i/>
          <w:iCs/>
          <w:sz w:val="22"/>
          <w:szCs w:val="22"/>
        </w:rPr>
        <w:t xml:space="preserve">Marketing Visionario, 6</w:t>
      </w:r>
      <w:r>
        <w:rPr>
          <w:rFonts w:ascii="Calibri" w:cs="Calibri" w:eastAsia="Calibri" w:hAnsi="Calibri"/>
          <w:sz w:val="22"/>
          <w:szCs w:val="22"/>
        </w:rPr>
        <w:t xml:space="preserve">(2), 95–113.</w:t>
      </w:r>
    </w:p>
    <w:p>
      <w:pPr>
        <w:spacing w:after="100"/>
        <w:ind w:left="720" w:hanging="720"/>
      </w:pPr>
      <w:r>
        <w:rPr>
          <w:rFonts w:ascii="Calibri" w:cs="Calibri" w:eastAsia="Calibri" w:hAnsi="Calibri"/>
          <w:sz w:val="22"/>
          <w:szCs w:val="22"/>
        </w:rPr>
        <w:t xml:space="preserve">Nadiri, H., &amp; Gunay, G. N. (2013). An empirical study to diagnose the outcomes of customers’ experiences in trendy coffee shops. </w:t>
      </w:r>
      <w:r>
        <w:rPr>
          <w:rFonts w:ascii="Calibri" w:cs="Calibri" w:eastAsia="Calibri" w:hAnsi="Calibri"/>
          <w:i/>
          <w:iCs/>
          <w:sz w:val="22"/>
          <w:szCs w:val="22"/>
        </w:rPr>
        <w:t xml:space="preserve">Journal of Business Economics and Management, 14</w:t>
      </w:r>
      <w:r>
        <w:rPr>
          <w:rFonts w:ascii="Calibri" w:cs="Calibri" w:eastAsia="Calibri" w:hAnsi="Calibri"/>
          <w:sz w:val="22"/>
          <w:szCs w:val="22"/>
        </w:rPr>
        <w:t xml:space="preserve">(1), 22–53. https://doi.org/10.3846/16111699.2011.631742</w:t>
      </w:r>
    </w:p>
    <w:p>
      <w:pPr>
        <w:spacing w:after="100"/>
        <w:ind w:left="720" w:hanging="720"/>
      </w:pPr>
      <w:r>
        <w:rPr>
          <w:rFonts w:ascii="Calibri" w:cs="Calibri" w:eastAsia="Calibri" w:hAnsi="Calibri"/>
          <w:sz w:val="22"/>
          <w:szCs w:val="22"/>
        </w:rPr>
        <w:t xml:space="preserve">Rashid, N., Nika, F. A., &amp; Thomas, G. (2021). Impact of service encounter elements on experiential value and customer loyalty: An empirical investigation in the coffee shop context. </w:t>
      </w:r>
      <w:r>
        <w:rPr>
          <w:rFonts w:ascii="Calibri" w:cs="Calibri" w:eastAsia="Calibri" w:hAnsi="Calibri"/>
          <w:i/>
          <w:iCs/>
          <w:sz w:val="22"/>
          <w:szCs w:val="22"/>
        </w:rPr>
        <w:t xml:space="preserve">SAGE Open, 11</w:t>
      </w:r>
      <w:r>
        <w:rPr>
          <w:rFonts w:ascii="Calibri" w:cs="Calibri" w:eastAsia="Calibri" w:hAnsi="Calibri"/>
          <w:sz w:val="22"/>
          <w:szCs w:val="22"/>
        </w:rPr>
        <w:t xml:space="preserve">(4). https://doi.org/10.1177/21582440211061385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2026-10-21T04:21:59.828Z</dcterms:created>
  <dcterms:modified xsi:type="dcterms:W3CDTF">2026-10-21T04:21:59.833Z</dcterms:modified>
</cp:coreProperties>
</file>

<file path=docProps/custom.xml><?xml version="1.0" encoding="utf-8"?>
<Properties xmlns="http://schemas.openxmlformats.org/officeDocument/2006/custom-properties" xmlns:vt="http://schemas.openxmlformats.org/officeDocument/2006/docPropsVTypes"/>
</file>