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Resumen de la revisión de literatura – Grupo B2 (Estrategias)</w:t>
      </w:r>
    </w:p>
    <w:p>
      <w:pPr>
        <w:spacing w:after="80"/>
        <w:jc w:val="both"/>
      </w:pP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Cafeterías de especialidad en Chapinero Alto, Bogotá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Método</w:t>
      </w:r>
    </w:p>
    <w:p>
      <w:pPr>
        <w:spacing w:after="80" w:line="252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Búsqueda siguiendo PRISMA en [bases: completar] con las ecuaciones registradas en el archivo Excel. Se identificaron [N] registros, se eliminaron [N] duplicados, se cribaron [N] por título y resumen y se evaluaron [N] textos completos; se incluyeron [N] documentos, entre ellos [N] de literatura gris (Distrito, gremios y prensa). Los conteos y el detalle por documento están en el Excel (hojas PRISMA y Documentos).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¿Qué se conoce?</w:t>
      </w:r>
    </w:p>
    <w:p>
      <w:pPr>
        <w:pStyle w:val="ListParagraph"/>
        <w:numPr>
          <w:ilvl w:val="0"/>
          <w:numId w:val="2"/>
        </w:numPr>
        <w:spacing w:after="50" w:line="252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Fuera de Colombia hay evidencia consistente de que la calidad del servicio y la experiencia del cliente se asocian con la satisfacción, la lealtad y la intención de volver a las cafeterías (Nadiri y Gunay, 2013; Rashid et al., 2021; Kim, 2022).</w:t>
      </w:r>
    </w:p>
    <w:p>
      <w:pPr>
        <w:pStyle w:val="ListParagraph"/>
        <w:numPr>
          <w:ilvl w:val="0"/>
          <w:numId w:val="2"/>
        </w:numPr>
        <w:spacing w:after="50" w:line="252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El personal y el trato aparecen como un elemento central de la experiencia (Rashid et al., 2021; Mendoza Serna, 2018; Haktanir y Gullu, 2024).</w:t>
      </w:r>
    </w:p>
    <w:p>
      <w:pPr>
        <w:pStyle w:val="ListParagraph"/>
        <w:numPr>
          <w:ilvl w:val="0"/>
          <w:numId w:val="2"/>
        </w:numPr>
        <w:spacing w:after="50" w:line="252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El efecto del ambiente físico no es uniforme: en un estudio con estudiantes no fue significativo (Kim y Kim, 2019) y en cafeterías de franquicia los clientes valoraron más el menú y el precio que el interior (Choi, 2020).</w:t>
      </w:r>
    </w:p>
    <w:p>
      <w:pPr>
        <w:pStyle w:val="ListParagraph"/>
        <w:numPr>
          <w:ilvl w:val="0"/>
          <w:numId w:val="2"/>
        </w:numPr>
        <w:spacing w:after="50" w:line="252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La frecuencia de visita parece depender también del hábito y de factores sociales (Kim y Kim, 2019; Haktanir y Gullu, 2024).</w:t>
      </w:r>
    </w:p>
    <w:p>
      <w:pPr>
        <w:pStyle w:val="ListParagraph"/>
        <w:numPr>
          <w:ilvl w:val="0"/>
          <w:numId w:val="2"/>
        </w:numPr>
        <w:spacing w:after="50" w:line="252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En Colombia, la prensa y Euromonitor muestran crecimiento de las tiendas especializadas de café (La República, 2019) y que Bogotá lidera los pedidos de café y el ticket promedio en Rappi (Agronegocios, 2026).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¿Qué falta por conocer? (vacíos)</w:t>
      </w:r>
    </w:p>
    <w:p>
      <w:pPr>
        <w:pStyle w:val="ListParagraph"/>
        <w:numPr>
          <w:ilvl w:val="0"/>
          <w:numId w:val="2"/>
        </w:numPr>
        <w:spacing w:after="50" w:line="252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Comportamiento observado: </w:t>
      </w:r>
      <w:r>
        <w:rPr>
          <w:rFonts w:ascii="Calibri" w:cs="Calibri" w:eastAsia="Calibri" w:hAnsi="Calibri"/>
          <w:sz w:val="20"/>
          <w:szCs w:val="20"/>
        </w:rPr>
        <w:t xml:space="preserve">casi todos los estudios miden intención o lealtad declarada; pocos miden frecuencia de visita y gasto (solo Kim, 2022, de forma directa).</w:t>
      </w:r>
    </w:p>
    <w:p>
      <w:pPr>
        <w:pStyle w:val="ListParagraph"/>
        <w:numPr>
          <w:ilvl w:val="0"/>
          <w:numId w:val="2"/>
        </w:numPr>
        <w:spacing w:after="50" w:line="252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Contexto: </w:t>
      </w:r>
      <w:r>
        <w:rPr>
          <w:rFonts w:ascii="Calibri" w:cs="Calibri" w:eastAsia="Calibri" w:hAnsi="Calibri"/>
          <w:sz w:val="20"/>
          <w:szCs w:val="20"/>
        </w:rPr>
        <w:t xml:space="preserve">la evidencia viene sobre todo de Corea, Chipre y otros países asiáticos; en Colombia solo encontramos estudios de Venezuela con 12 participantes y datos comerciales de domicilios. No hallamos estudios revisados por pares sobre cafeterías de Chapinero Alto. [Confirmar con la búsqueda en bases.]</w:t>
      </w:r>
    </w:p>
    <w:p>
      <w:pPr>
        <w:pStyle w:val="ListParagraph"/>
        <w:numPr>
          <w:ilvl w:val="0"/>
          <w:numId w:val="2"/>
        </w:numPr>
        <w:spacing w:after="50" w:line="252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Comparación entre cafeterías: </w:t>
      </w:r>
      <w:r>
        <w:rPr>
          <w:rFonts w:ascii="Calibri" w:cs="Calibri" w:eastAsia="Calibri" w:hAnsi="Calibri"/>
          <w:sz w:val="20"/>
          <w:szCs w:val="20"/>
        </w:rPr>
        <w:t xml:space="preserve">los estudios analizan una cadena o un local; casi no se comparan estrategias de varias cafeterías de una misma zona.</w:t>
      </w:r>
    </w:p>
    <w:p>
      <w:pPr>
        <w:pStyle w:val="ListParagraph"/>
        <w:numPr>
          <w:ilvl w:val="0"/>
          <w:numId w:val="2"/>
        </w:numPr>
        <w:spacing w:after="50" w:line="252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Datos del Distrito: </w:t>
      </w:r>
      <w:r>
        <w:rPr>
          <w:rFonts w:ascii="Calibri" w:cs="Calibri" w:eastAsia="Calibri" w:hAnsi="Calibri"/>
          <w:sz w:val="20"/>
          <w:szCs w:val="20"/>
        </w:rPr>
        <w:t xml:space="preserve">el único documento del Distrito hallado hasta ahora es un comunicado de 2026 sobre productores de café de especialidad, sin datos de consumo ni de locales en Chapinero. [Completar con SDDE, Cámara de Comercio.]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Ajuste de la pregunta de investigación</w:t>
      </w:r>
    </w:p>
    <w:p>
      <w:pPr>
        <w:spacing w:after="80" w:line="252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Se mantienen los tres factores y las variables de resultado, pero se agrega la motivación de visita como variable de contexto, porque la literatura muestra que el hábito y los motivos sociales también explican la frecuencia.</w:t>
      </w:r>
    </w:p>
    <w:p>
      <w:pPr>
        <w:spacing w:after="80" w:line="252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Pregunta ajustada: </w:t>
      </w:r>
      <w:r>
        <w:rPr>
          <w:rFonts w:ascii="Calibri" w:cs="Calibri" w:eastAsia="Calibri" w:hAnsi="Calibri"/>
          <w:sz w:val="20"/>
          <w:szCs w:val="20"/>
        </w:rPr>
        <w:t xml:space="preserve">¿Cómo se relacionan el ambiente, la interacción con el personal y la experiencia de consumo que ofrecen las cafeterías de especialidad de Chapinero Alto con la frecuencia de visita y el gasto por visita de sus clientes, según la motivación con que las visitan?</w:t>
      </w:r>
    </w:p>
    <w:sectPr>
      <w:pgSz w:w="12240" w:h="15840" w:orient="portrait"/>
      <w:pgMar w:top="10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2026-10-21T04:22:00.130Z</dcterms:created>
  <dcterms:modified xsi:type="dcterms:W3CDTF">2026-10-21T04:22:00.130Z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