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b/>
          <w:bCs/>
          <w:color w:val="2E75B6"/>
          <w:sz w:val="24"/>
          <w:szCs w:val="24"/>
        </w:rPr>
        <w:t xml:space="preserve">PROGRAMA PREV IA — 1º CICLO</w:t>
      </w:r>
    </w:p>
    <w:p>
      <w:pPr>
        <w:spacing w:after="60"/>
        <w:jc w:val="center"/>
      </w:pPr>
      <w:r>
        <w:rPr>
          <w:b/>
          <w:bCs/>
          <w:color w:val="1F3B8C"/>
          <w:sz w:val="52"/>
          <w:szCs w:val="52"/>
        </w:rPr>
        <w:t xml:space="preserve">CENTRAL INTELIGENTE</w:t>
      </w:r>
    </w:p>
    <w:p>
      <w:pPr>
        <w:spacing w:after="60"/>
        <w:jc w:val="center"/>
      </w:pPr>
      <w:r>
        <w:rPr>
          <w:b/>
          <w:bCs/>
          <w:color w:val="1F3B8C"/>
          <w:sz w:val="52"/>
          <w:szCs w:val="52"/>
        </w:rPr>
        <w:t xml:space="preserve">DE SEGUROS</w:t>
      </w:r>
    </w:p>
    <w:p>
      <w:pPr>
        <w:spacing w:after="40" w:before="120"/>
        <w:jc w:val="center"/>
      </w:pPr>
      <w:r>
        <w:rPr>
          <w:color w:val="2E75B6"/>
          <w:sz w:val="26"/>
          <w:szCs w:val="26"/>
        </w:rPr>
        <w:t xml:space="preserve">Documentação Completa do Projeto</w:t>
      </w:r>
    </w:p>
    <w:p>
      <w:pPr>
        <w:spacing w:after="600"/>
        <w:jc w:val="center"/>
      </w:pPr>
      <w:r>
        <w:rPr>
          <w:i/>
          <w:iCs/>
          <w:color w:val="777777"/>
          <w:sz w:val="20"/>
          <w:szCs w:val="20"/>
        </w:rPr>
        <w:t xml:space="preserve">Estado atual e próximos passos</w:t>
      </w:r>
    </w:p>
    <w:p>
      <w:pPr>
        <w:spacing w:after="20"/>
        <w:jc w:val="center"/>
      </w:pPr>
      <w:r>
        <w:rPr>
          <w:b/>
          <w:bCs/>
          <w:color w:val="444444"/>
          <w:sz w:val="22"/>
          <w:szCs w:val="22"/>
        </w:rPr>
        <w:t xml:space="preserve">Autora: Luciana Cristina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Área de Seguros (Risco: Morte e Invalidez) — Sebrae Previdência</w:t>
      </w:r>
    </w:p>
    <w:p>
      <w:pPr>
        <w:spacing w:before="400"/>
        <w:jc w:val="center"/>
      </w:pPr>
      <w:r>
        <w:rPr>
          <w:i/>
          <w:iCs/>
          <w:color w:val="999999"/>
          <w:sz w:val="17"/>
          <w:szCs w:val="17"/>
        </w:rPr>
        <w:t xml:space="preserve">Nota Técnica Sebrae Previdência nº 033/2026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1. Sumário Executivo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A Central Inteligente de Seguros é uma plataforma que centraliza toda a operação de seguros do Sebrae Previdência, conectando os três agentes envolvidos — corretora, seguradora (ICATU) e o Sebrae Previdência, na condição de estipulante. No seu núcleo há um assistente de Inteligência Artificial que dá acesso rápido e confiável às informações da carteira, respondendo em linguagem natural.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O projeto nasce de uma dor concreta e vivida na área de Seguros: hoje não existe um ambiente único que integre esses três agentes, e as informações ficam dispersas em planilhas, e-mails e sistemas distintos.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Recorte para o Programa Prev 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MVP (o que será demonstrado): </w:t>
      </w:r>
      <w:r>
        <w:rPr>
          <w:color w:val="444444"/>
          <w:sz w:val="21"/>
          <w:szCs w:val="21"/>
        </w:rPr>
        <w:t xml:space="preserve">o assistente de IA de consulta da carteira, construído no ambiente Microsoft 365 Copilot homologado. É simples, funcional e demonstrável no prazo do programa.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Visão de escala (futuro): </w:t>
      </w:r>
      <w:r>
        <w:rPr>
          <w:color w:val="444444"/>
          <w:sz w:val="21"/>
          <w:szCs w:val="21"/>
        </w:rPr>
        <w:t xml:space="preserve">a plataforma completa, multiproduto e integrada por API, entregue de forma gradual em fases.</w:t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2. O Problema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A operação de seguros de risco (morte e invalidez) envolve três agentes que hoje trabalham de forma desconectada: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Corretora — </w:t>
      </w:r>
      <w:r>
        <w:rPr>
          <w:color w:val="444444"/>
          <w:sz w:val="21"/>
          <w:szCs w:val="21"/>
        </w:rPr>
        <w:t xml:space="preserve">envia movimentações, propostas e controla comissões, em planilhas e e-mails.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Seguradora </w:t>
      </w:r>
      <w:r>
        <w:rPr>
          <w:color w:val="444444"/>
          <w:sz w:val="21"/>
          <w:szCs w:val="21"/>
        </w:rPr>
        <w:t xml:space="preserve">(ICATU) mantém apólices, sinistros e coberturas em sistema próprio.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Estipulante </w:t>
      </w:r>
      <w:r>
        <w:rPr>
          <w:color w:val="444444"/>
          <w:sz w:val="21"/>
          <w:szCs w:val="21"/>
        </w:rPr>
        <w:t xml:space="preserve">(Sebrae Previdência) administra a carteira, mas sem uma visão única e consolidada.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As consequências diretas são: retrabalho na consolidação manual dos dados, baixa rastreabilidade, risco de perda de prazos de renovação e cobrança, e lentidão no atendimento a participantes e à gestão. Não existe, no mercado, um módulo administrativo que faça essa ponte — é justamente essa lacuna que o projeto preenche.</w:t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3. Arquitetura da Solução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A plataforma organiza-se em três camadas: as fontes de dados/agentes, a camada de integração, e a plataforma central com seus módulos — tendo o Núcleo IA Prev como coração. Toda a operação é envolvida por uma camada de governança e segurança aderente à LGPD.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1 — Arquitetura da Central Inteligente de Seguros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4. O Que Já Foi Construído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Foi desenvolvido um protótipo navegável do portal, com 10 telas funcionais e dados fictícios, que demonstra visualmente toda a solução. A seguir, as principais telas.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4.1 Dashboard e impacto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Tela inicial com o painel de impacto (antes × depois), indicadores da carteira, gráficos e alertas inteligentes proativos.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2 — Dashboard com painel de impacto e alertas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4.2 Assistente de Inteligência Artificial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O núcleo da solução: consulta a carteira em linguagem natural (renovações, sinistros, comissões, inadimplência), com respostas imediatas.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3 — Assistente de IA respondendo sobre a carteira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4.3 Esteira de aceitação de apólices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Fluxo de subscrição em formato kanban: proposta recebida → em análise → aceita / pendente / recusada.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4 — Esteira de aceitação de apólices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4.4 Movimentação, pagamento e boletos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Envio da planilha de movimentação (base real de segurados: matrícula, CPF, capital, prêmio, módulo/sub) e emissão de boletos segregados por convênio — FENACON, OPBB, CORECON e FenaSebrae — por competência.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5 — Movimentação e emissão de boletos por convênio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4.5 Painel de comissões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Divisão do prêmio arrecadado entre os três agentes: estipulante (Sebrae Prev), corretora e seguradora (ICATU).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6 — Painel de comissões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4.6 Controle de inadimplência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Régua de cobrança por faixa de dias em atraso, com ações sugeridas pela IA (do aviso amigável ao risco de cancelamento) e lista priorizada de inadimplentes.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7 — Controle de inadimplência com régua de cobrança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4.7 Visão multiproduto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Catálogo de ramos: morte e invalidez em operação hoje; auto, viagem, bike e residencial no roadmap de expansão. Conceito de 'motor único, vários ramos'.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8 — Catálogo de ramos e visão multiproduto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4.8 Resumo das funcionalidades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Tela / Recurso</w:t>
            </w:r>
          </w:p>
        </w:tc>
        <w:tc>
          <w:tcPr>
            <w:tcW w:type="dxa" w:w="63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Dashboard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Indicadores, impacto antes×depois e alertas proativos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Ramos / Produtos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Catálogo multiproduto (motor único)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Integrações (API)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Fluxo de dados via API — ICATU, corretora, Trust Prev (roadmap)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Gestão de Seguros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Carteira de apólices com busca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Esteira de Apólices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Fluxo de aceitação (proposta → decisão)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Movimentação &amp; Pgto.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Planilha e emissão de boletos por convênio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Comissões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Divisão estipulante/corretora/seguradora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Inadimplência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Régua de cobrança e recuperação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Sinistros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Acompanhamento de morte e invalidez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Pendências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Priorização por IA, anexos e exportação Excel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Assistente de IA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Consulta em linguagem natural (núcleo)</w:t>
            </w:r>
          </w:p>
        </w:tc>
      </w:tr>
      <w:tr>
        <w:trPr>
          <w:tblHeader w:val="false"/>
        </w:trP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Perfis de acesso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Estipulante vê tudo; corretora e seguradora, subconjuntos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5. Integração via API — a Evolução do Projeto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O protótipo demonstra a experiência e o funcionamento da plataforma. A visão final, porém, é a integração via API: os dados passam a chegar automaticamente dos sistemas envolvidos, eliminando a digitação manual e o envio de planilhas. Esta é a etapa que transforma a Central em uma plataforma totalmente conectada.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888888"/>
          <w:sz w:val="17"/>
          <w:szCs w:val="17"/>
        </w:rPr>
        <w:t xml:space="preserve">Figura 9 — Tela de Integrações: fluxo de dados via API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5.1 Conexões previstas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Envio de planilha </w:t>
      </w:r>
      <w:r>
        <w:rPr>
          <w:color w:val="444444"/>
          <w:sz w:val="21"/>
          <w:szCs w:val="21"/>
        </w:rPr>
        <w:t xml:space="preserve">(atual): base recebida da corretora, processada manualmente. Funciona hoje, sem integração — é a base do MVP.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API ICATU </w:t>
      </w:r>
      <w:r>
        <w:rPr>
          <w:color w:val="444444"/>
          <w:sz w:val="21"/>
          <w:szCs w:val="21"/>
        </w:rPr>
        <w:t xml:space="preserve">(seguradora): apólices, coberturas e sinistros sincronizados automaticamente — Fase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API Corretora: </w:t>
      </w:r>
      <w:r>
        <w:rPr>
          <w:color w:val="444444"/>
          <w:sz w:val="21"/>
          <w:szCs w:val="21"/>
        </w:rPr>
        <w:t xml:space="preserve">movimentações, propostas e comissões em tempo real — Fase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Trust Prev: </w:t>
      </w:r>
      <w:r>
        <w:rPr>
          <w:color w:val="444444"/>
          <w:sz w:val="21"/>
          <w:szCs w:val="21"/>
        </w:rPr>
        <w:t xml:space="preserve">dados cadastrais e de plano dos participantes — Fase 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444444"/>
          <w:sz w:val="21"/>
          <w:szCs w:val="21"/>
        </w:rPr>
        <w:t xml:space="preserve">Área do Participante: </w:t>
      </w:r>
      <w:r>
        <w:rPr>
          <w:color w:val="444444"/>
          <w:sz w:val="21"/>
          <w:szCs w:val="21"/>
        </w:rPr>
        <w:t xml:space="preserve">autoatendimento e consulta pelo próprio participante — Fase 4.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5.2 Pré-requisitos da integração (governança)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Antes de qualquer conexão, cinco pontos precisam ser validados: credenciais de acesso autorizadas por cada sistema; homologação pela Segurança da Informação; mapeamento de dados (de/para) entre os sistemas e a Central; tráfego e armazenamento apenas no ambiente corporativo homologado; e manifestação favorável da área responsável. Por essa complexidade, a integração via API é uma etapa posterior ao MVP do programa.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6. Conformidade e Segurança (LGPD)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Desenvolvimento e operação exclusivamente no ambiente corporativo homologado (Microsoft 365 Copilot Business).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Dados sensíveis (CPF, data de nascimento, informações de saúde) tratados apenas no ambiente aprovado; dados fictícios na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Controle de acesso por perfil: cada usuário consulta apenas as informações às quais tem autorização.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Adoção efetiva condicionada à validação da área responsável e da Segurança da Informação, em aderência à LGPD.</w:t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7. Artefatos do Projeto</w:t>
      </w:r>
    </w:p>
    <w:p>
      <w:pPr>
        <w:spacing w:after="110"/>
        <w:jc w:val="both"/>
      </w:pPr>
      <w:r>
        <w:rPr>
          <w:color w:val="444444"/>
          <w:sz w:val="21"/>
          <w:szCs w:val="21"/>
        </w:rPr>
        <w:t xml:space="preserve">Os seguintes materiais já foram produzidos e estão disponíveis: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3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Portal (HTML)</w:t>
            </w:r>
          </w:p>
        </w:tc>
        <w:tc>
          <w:tcPr>
            <w:tcW w:type="dxa" w:w="5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Protótipo navegável com 10 telas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Documento do Projeto (PRD)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Visão completa, módulos e roadmap</w:t>
            </w:r>
          </w:p>
        </w:tc>
      </w:tr>
      <w:tr>
        <w:trPr>
          <w:tblHeader w:val="false"/>
        </w:trP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Minuta (2 páginas)</w:t>
            </w:r>
          </w:p>
        </w:tc>
        <w:tc>
          <w:tcPr>
            <w:tcW w:type="dxa" w:w="5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Descrição da solução para a inscrição</w:t>
            </w:r>
          </w:p>
        </w:tc>
      </w:tr>
      <w:tr>
        <w:trPr>
          <w:tblHeader w:val="false"/>
        </w:trP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Documentação Completa (este doc.)</w:t>
            </w:r>
          </w:p>
        </w:tc>
        <w:tc>
          <w:tcPr>
            <w:tcW w:type="dxa" w:w="5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Consolida projeto, telas e próximos passos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Diagrama de arquitetura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Imagem da arquitetura da plataforma</w:t>
            </w:r>
          </w:p>
        </w:tc>
      </w:tr>
      <w:tr>
        <w:trPr>
          <w:tblHeader w:val="false"/>
        </w:trP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Base de segurados (Excel)</w:t>
            </w:r>
          </w:p>
        </w:tc>
        <w:tc>
          <w:tcPr>
            <w:tcW w:type="dxa" w:w="5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Base fictícia de movimentação e pagamento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Slides do pitch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9 slides para a apresentação</w:t>
            </w:r>
          </w:p>
        </w:tc>
      </w:tr>
      <w:tr>
        <w:trPr>
          <w:tblHeader w:val="false"/>
        </w:trPr>
        <w:tc>
          <w:tcPr>
            <w:tcW w:type="dxa" w:w="4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Roteiro do vídeo</w:t>
            </w:r>
          </w:p>
        </w:tc>
        <w:tc>
          <w:tcPr>
            <w:tcW w:type="dxa" w:w="5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Roteiro cronometrado de 3 minutos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E-mail de inscrição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Texto pronto para envio à banca</w:t>
            </w:r>
          </w:p>
        </w:tc>
      </w:tr>
    </w:tbl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8. Próximos Passos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7.1 Imediato — Inscrição (até 03/08/2026)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Enviar o e-mail de inscrição à banca, anexando a minuta de 2 páginas.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7.2 Desenvolvimento (04/08 a 13/10/2026)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Montar o assistente de IA de consulta no Microsoft 365 Copilot (ambiente homologado).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Carregar a base de segurados (dados reais) no ambiente seguro, substituindo os fictícios.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Refinar as respostas do assistente com as perguntas mais frequentes da operação.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7.3 Entrega final (até 16/10/2026)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Gravar o vídeo demonstrativo (até 3 min) seguindo o roteiro.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Finalizar os slides do pitch com os dados reais.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Enviar a documentação, os slides e o vídeo à banca.</w:t>
      </w:r>
    </w:p>
    <w:p>
      <w:pPr>
        <w:spacing w:after="90" w:before="200"/>
      </w:pPr>
      <w:r>
        <w:rPr>
          <w:b/>
          <w:bCs/>
          <w:color w:val="2E75B6"/>
          <w:sz w:val="24"/>
          <w:szCs w:val="24"/>
        </w:rPr>
        <w:t xml:space="preserve">7.4 Evolução futura (pós-programa)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Fase 2: módulos de gestão, workflow e dashboard com automações.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Fase 3: integração via API com Trust Prev, ICATU e corretora; CRM, funil e financeiro.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Fase 4: portal do participante, assinatura eletrônica e novos ramos (auto, viagem, bike, residencial).</w:t>
      </w:r>
    </w:p>
    <w:p>
      <w:pPr>
        <w:spacing w:after="120" w:before="300"/>
      </w:pPr>
      <w:r>
        <w:rPr>
          <w:b/>
          <w:bCs/>
          <w:color w:val="1F3B8C"/>
          <w:sz w:val="30"/>
          <w:szCs w:val="30"/>
        </w:rPr>
        <w:t xml:space="preserve">9. Cronograma do Programa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rPr>
          <w:tblHeader/>
        </w:trPr>
        <w:tc>
          <w:tcPr>
            <w:tcW w:type="dxa" w:w="60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500"/>
            <w:shd w:fill="1F3B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6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Inscrição (e-mail à banca)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até 03/08/2026</w:t>
            </w:r>
          </w:p>
        </w:tc>
      </w:tr>
      <w:tr>
        <w:trPr>
          <w:tblHeader w:val="false"/>
        </w:trP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Desenvolvimento e execução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04/08 a 13/10/2026</w:t>
            </w:r>
          </w:p>
        </w:tc>
      </w:tr>
      <w:tr>
        <w:trPr>
          <w:tblHeader w:val="false"/>
        </w:trPr>
        <w:tc>
          <w:tcPr>
            <w:tcW w:type="dxa" w:w="6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Envio de documentação e vídeo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até 16/10/2026</w:t>
            </w:r>
          </w:p>
        </w:tc>
      </w:tr>
      <w:tr>
        <w:trPr>
          <w:tblHeader w:val="false"/>
        </w:trPr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Avaliação pela banca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até 25/10/2026</w:t>
            </w:r>
          </w:p>
        </w:tc>
      </w:tr>
      <w:tr>
        <w:trPr>
          <w:tblHeader w:val="false"/>
        </w:trPr>
        <w:tc>
          <w:tcPr>
            <w:tcW w:type="dxa" w:w="60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Decisão final e premiação</w:t>
            </w:r>
          </w:p>
        </w:tc>
        <w:tc>
          <w:tcPr>
            <w:tcW w:type="dxa" w:w="35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26/10/2026</w:t>
            </w:r>
          </w:p>
        </w:tc>
      </w:tr>
    </w:tbl>
    <w:p>
      <w:pPr>
        <w:spacing w:before="120"/>
      </w:pPr>
      <w:r>
        <w:rPr>
          <w:i/>
          <w:iCs/>
          <w:color w:val="777777"/>
          <w:sz w:val="19"/>
          <w:szCs w:val="19"/>
        </w:rPr>
        <w:t xml:space="preserve">Critérios de avaliação: Uso de IA (25%) · Impacto no dia a dia (25%) · Simplicidade e viabilidade (15%) · Conformidade e segurança (15%) · Clareza (10%) · Custo-benefício (10%).</w:t>
      </w:r>
    </w:p>
    <w:p>
      <w:pPr>
        <w:pBdr>
          <w:top w:val="single" w:color="CCCCCC" w:sz="4" w:space="1"/>
        </w:pBdr>
        <w:spacing w:before="300"/>
      </w:pPr>
      <w:r>
        <w:rPr>
          <w:i/>
          <w:iCs/>
          <w:color w:val="999999"/>
          <w:sz w:val="16"/>
          <w:szCs w:val="16"/>
        </w:rPr>
        <w:t xml:space="preserve">Programa Prev IA — Nota Técnica Sebrae Previdência nº 033/2026 · Central Inteligente de Seguros · Luciana Cristina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ef5f1a72f288bf66465f9a4676f0af715d6374.png"/><Relationship Id="rId8" Type="http://schemas.openxmlformats.org/officeDocument/2006/relationships/image" Target="media/9922b6ba2c6ebdac96237a4b10ddf0e412035a80.png"/><Relationship Id="rId9" Type="http://schemas.openxmlformats.org/officeDocument/2006/relationships/image" Target="media/ffc08886eebfd697e643ef8635fb5d49da4e4ddd.png"/><Relationship Id="rId10" Type="http://schemas.openxmlformats.org/officeDocument/2006/relationships/image" Target="media/c7f9b91ce4104fc318503c163d2517b901daa8ce.png"/><Relationship Id="rId11" Type="http://schemas.openxmlformats.org/officeDocument/2006/relationships/image" Target="media/9d4a436c7e854a0ea4ff1866250144a1da931bb1.png"/><Relationship Id="rId12" Type="http://schemas.openxmlformats.org/officeDocument/2006/relationships/image" Target="media/115fe33785e3af01f1a2485dc59a976544168fec.png"/><Relationship Id="rId13" Type="http://schemas.openxmlformats.org/officeDocument/2006/relationships/image" Target="media/eae1d75b9ad1c01a390624b5790a0a93e1e041d8.png"/><Relationship Id="rId14" Type="http://schemas.openxmlformats.org/officeDocument/2006/relationships/image" Target="media/0a2cf4d779fcd2f047b9fc2a5a0d114168734eba.png"/><Relationship Id="rId15" Type="http://schemas.openxmlformats.org/officeDocument/2006/relationships/image" Target="media/d889846fd6b2db52b630a94426a8ddd96ad5004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Cristina</dc:creator>
  <cp:lastModifiedBy>Un-named</cp:lastModifiedBy>
  <cp:revision>1</cp:revision>
  <dcterms:created xsi:type="dcterms:W3CDTF">2026-07-21T18:46:25.115Z</dcterms:created>
  <dcterms:modified xsi:type="dcterms:W3CDTF">2026-07-21T18:46:25.118Z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