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  <w:jc w:val="center"/>
      </w:pPr>
      <w:r>
        <w:rPr>
          <w:b/>
          <w:bCs/>
          <w:color w:val="1F3B8C"/>
          <w:sz w:val="26"/>
          <w:szCs w:val="26"/>
        </w:rPr>
        <w:t xml:space="preserve">PROGRAMA PREV IA — 1º CICLO</w:t>
      </w:r>
    </w:p>
    <w:p>
      <w:pPr>
        <w:spacing w:after="25"/>
        <w:jc w:val="center"/>
      </w:pPr>
      <w:r>
        <w:rPr>
          <w:b/>
          <w:bCs/>
          <w:color w:val="2E75B6"/>
          <w:sz w:val="22"/>
          <w:szCs w:val="22"/>
        </w:rPr>
        <w:t xml:space="preserve">Central Inteligente de Seguros</w:t>
      </w:r>
    </w:p>
    <w:p>
      <w:pPr>
        <w:spacing w:after="120"/>
        <w:jc w:val="center"/>
      </w:pPr>
      <w:r>
        <w:rPr>
          <w:i/>
          <w:iCs/>
          <w:color w:val="777777"/>
          <w:sz w:val="17"/>
          <w:szCs w:val="17"/>
        </w:rPr>
        <w:t xml:space="preserve">Descrição da solução  •  Autora: Luciana Cristina  •  Área de Seguros (Risco – Morte e Invalidez)</w:t>
      </w:r>
    </w:p>
    <w:p>
      <w:pPr>
        <w:pBdr>
          <w:bottom w:val="single" w:color="1F3B8C" w:sz="8" w:space="1"/>
        </w:pBdr>
        <w:spacing w:after="120"/>
      </w:pPr>
    </w:p>
    <w:p>
      <w:pPr>
        <w:spacing w:after="80" w:before="200"/>
      </w:pPr>
      <w:r>
        <w:rPr>
          <w:b/>
          <w:bCs/>
          <w:color w:val="1F3B8C"/>
          <w:sz w:val="23"/>
          <w:szCs w:val="23"/>
        </w:rPr>
        <w:t xml:space="preserve">1. Problema identificado</w:t>
      </w:r>
    </w:p>
    <w:p>
      <w:pPr>
        <w:spacing w:after="80"/>
        <w:jc w:val="both"/>
      </w:pPr>
      <w:r>
        <w:rPr>
          <w:color w:val="444444"/>
          <w:sz w:val="20"/>
          <w:szCs w:val="20"/>
        </w:rPr>
        <w:t xml:space="preserve">A operação de seguros de risco (morte e invalidez) do Sebrae Previdência é conduzida por três agentes que hoje trabalham de forma desconectada: a corretora, a seguradora (ICATU) e o próprio Sebrae Previdência, na condição de estipulante. As informações sobre apólices, vidas cobertas, movimentações, renovações, sinistros, pendências, comissões e inadimplência ficam dispersas em planilhas, e-mails e sistemas distintos, sem um ponto único de consulta. Isso gera retrabalho na consolidação manual, baixa rastreabilidade, risco de perda de prazos de renovação e cobrança, e lentidão no atendimento a participantes e à gestão.</w:t>
      </w:r>
    </w:p>
    <w:p>
      <w:pPr>
        <w:spacing w:after="80" w:before="200"/>
      </w:pPr>
      <w:r>
        <w:rPr>
          <w:b/>
          <w:bCs/>
          <w:color w:val="1F3B8C"/>
          <w:sz w:val="23"/>
          <w:szCs w:val="23"/>
        </w:rPr>
        <w:t xml:space="preserve">2. Solução desenvolvida com IA</w:t>
      </w:r>
    </w:p>
    <w:p>
      <w:pPr>
        <w:spacing w:after="80"/>
        <w:jc w:val="both"/>
      </w:pPr>
      <w:r>
        <w:rPr>
          <w:color w:val="444444"/>
          <w:sz w:val="20"/>
          <w:szCs w:val="20"/>
        </w:rPr>
        <w:t xml:space="preserve">A Central Inteligente de Seguros é uma plataforma que centraliza a operação, tendo no núcleo um assistente de Inteligência Artificial construído no Microsoft 365 Copilot (ferramenta corporativa homologada). O assistente responde em linguagem natural sobre a carteira — por exemplo: quais apólices vencem no mês, quantas vidas têm cada cobertura, status e pendências de um sinistro, situação da inadimplência e comissões por competência.</w:t>
      </w:r>
    </w:p>
    <w:p>
      <w:pPr>
        <w:spacing w:after="80"/>
        <w:jc w:val="both"/>
      </w:pPr>
      <w:r>
        <w:rPr>
          <w:color w:val="444444"/>
          <w:sz w:val="20"/>
          <w:szCs w:val="20"/>
        </w:rPr>
        <w:t xml:space="preserve">Além do assistente, a plataforma organiza: a esteira de aceitação de apólices (proposta → análise → aceita/pendente/recusada); a movimentação e a emissão de boletos segregados por convênio (FENACON, OPBB, CORECON e FenaSebrae); o painel de comissões (estipulante, corretora e seguradora); e o controle de inadimplência com régua de cobrança automática. Já foi desenvolvido um protótipo navegável do portal para demonstração.</w:t>
      </w:r>
    </w:p>
    <w:p>
      <w:pPr>
        <w:spacing w:after="80"/>
        <w:jc w:val="both"/>
      </w:pPr>
      <w:r>
        <w:rPr>
          <w:i/>
          <w:iCs/>
          <w:color w:val="444444"/>
          <w:sz w:val="20"/>
          <w:szCs w:val="20"/>
        </w:rPr>
        <w:t xml:space="preserve">Foi definido um MVP simples e demonstrável no prazo do programa: o assistente de consulta da carteira, sem dependência de integração via API — a partir da base que a área já recebe.</w:t>
      </w:r>
    </w:p>
    <w:p>
      <w:pPr>
        <w:spacing w:after="80" w:before="200"/>
      </w:pPr>
      <w:r>
        <w:rPr>
          <w:b/>
          <w:bCs/>
          <w:color w:val="1F3B8C"/>
          <w:sz w:val="23"/>
          <w:szCs w:val="23"/>
        </w:rPr>
        <w:t xml:space="preserve">3. Resultado e benefício gerado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/>
          <w:bCs/>
          <w:color w:val="444444"/>
          <w:sz w:val="20"/>
          <w:szCs w:val="20"/>
        </w:rPr>
        <w:t xml:space="preserve">Redução </w:t>
      </w:r>
      <w:r>
        <w:rPr>
          <w:color w:val="444444"/>
          <w:sz w:val="20"/>
          <w:szCs w:val="20"/>
        </w:rPr>
        <w:t xml:space="preserve">do tempo de consolidação e de busca de informações (de horas para segundos na consulta).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/>
          <w:bCs/>
          <w:color w:val="444444"/>
          <w:sz w:val="20"/>
          <w:szCs w:val="20"/>
        </w:rPr>
        <w:t xml:space="preserve">Menor risco </w:t>
      </w:r>
      <w:r>
        <w:rPr>
          <w:color w:val="444444"/>
          <w:sz w:val="20"/>
          <w:szCs w:val="20"/>
        </w:rPr>
        <w:t xml:space="preserve">de perda de prazos de renovação e cobrança.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/>
          <w:bCs/>
          <w:color w:val="444444"/>
          <w:sz w:val="20"/>
          <w:szCs w:val="20"/>
        </w:rPr>
        <w:t xml:space="preserve">Mais agilidade </w:t>
      </w:r>
      <w:r>
        <w:rPr>
          <w:color w:val="444444"/>
          <w:sz w:val="20"/>
          <w:szCs w:val="20"/>
        </w:rPr>
        <w:t xml:space="preserve">no atendimento a participantes e à gestão.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b/>
          <w:bCs/>
          <w:color w:val="444444"/>
          <w:sz w:val="20"/>
          <w:szCs w:val="20"/>
        </w:rPr>
        <w:t xml:space="preserve">Redução </w:t>
      </w:r>
      <w:r>
        <w:rPr>
          <w:color w:val="444444"/>
          <w:sz w:val="20"/>
          <w:szCs w:val="20"/>
        </w:rPr>
        <w:t xml:space="preserve">de erros, com padronização e rastreabilidade das respostas.</w:t>
      </w:r>
    </w:p>
    <w:p>
      <w:pPr>
        <w:spacing w:after="80"/>
        <w:jc w:val="both"/>
      </w:pPr>
      <w:r>
        <w:rPr>
          <w:i/>
          <w:iCs/>
          <w:color w:val="444444"/>
          <w:sz w:val="20"/>
          <w:szCs w:val="20"/>
        </w:rPr>
        <w:t xml:space="preserve">Indicador proposto: tempo médio para responder uma consulta sobre a carteira, antes e depois do assistente.</w:t>
      </w:r>
    </w:p>
    <w:p>
      <w:pPr>
        <w:spacing w:after="80" w:before="200"/>
      </w:pPr>
      <w:r>
        <w:rPr>
          <w:b/>
          <w:bCs/>
          <w:color w:val="1F3B8C"/>
          <w:sz w:val="23"/>
          <w:szCs w:val="23"/>
        </w:rPr>
        <w:t xml:space="preserve">4. Custo e viabilidade de escala</w:t>
      </w:r>
    </w:p>
    <w:p>
      <w:pPr>
        <w:spacing w:after="80"/>
        <w:jc w:val="both"/>
      </w:pPr>
      <w:r>
        <w:rPr>
          <w:color w:val="444444"/>
          <w:sz w:val="20"/>
          <w:szCs w:val="20"/>
        </w:rPr>
        <w:t xml:space="preserve">O MVP utiliza o Microsoft 365 Copilot, já previsto como ferramenta homologada da Entidade, sem custo de nova plataforma e sem desenvolvimento de software próprio; é construído e operado individualmente dentro do prazo do programa.</w:t>
      </w:r>
    </w:p>
    <w:p>
      <w:pPr>
        <w:spacing w:after="80"/>
        <w:jc w:val="both"/>
      </w:pPr>
      <w:r>
        <w:rPr>
          <w:color w:val="444444"/>
          <w:sz w:val="20"/>
          <w:szCs w:val="20"/>
        </w:rPr>
        <w:t xml:space="preserve">Visão de escala: a plataforma nasce multiproduto (motor único, vários ramos) — além de morte e invalidez, a arquitetura está preparada para auto, viagem, bike e residencial, sem recomeçar do zero. A evolução natural é a integração via API com a ICATU, a corretora e o Trust Prev, para que os dados cheguem automaticamente — etapa posterior ao MVP, condicionada às validações de segurança.</w:t>
      </w:r>
    </w:p>
    <w:p>
      <w:pPr>
        <w:spacing w:after="80" w:before="200"/>
      </w:pPr>
      <w:r>
        <w:rPr>
          <w:b/>
          <w:bCs/>
          <w:color w:val="1F3B8C"/>
          <w:sz w:val="23"/>
          <w:szCs w:val="23"/>
        </w:rPr>
        <w:t xml:space="preserve">5. Conformidade e segurança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444444"/>
          <w:sz w:val="20"/>
          <w:szCs w:val="20"/>
        </w:rPr>
        <w:t xml:space="preserve">Desenvolvimento e operação exclusivamente no ambiente corporativo homologado (Microsoft 365 Copilot Business).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444444"/>
          <w:sz w:val="20"/>
          <w:szCs w:val="20"/>
        </w:rPr>
        <w:t xml:space="preserve">Dados sensíveis (CPF, data de nascimento, informações de saúde) tratados apenas no ambiente aprovado; dados fictícios na demonstração.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444444"/>
          <w:sz w:val="20"/>
          <w:szCs w:val="20"/>
        </w:rPr>
        <w:t xml:space="preserve">Controle de acesso por perfil: estipulante, corretora e seguradora veem apenas o que lhes compete.</w:t>
      </w:r>
    </w:p>
    <w:p>
      <w:pPr>
        <w:pStyle w:val="ListParagraph"/>
        <w:numPr>
          <w:ilvl w:val="0"/>
          <w:numId w:val="1"/>
        </w:numPr>
        <w:spacing w:after="45"/>
      </w:pPr>
      <w:r>
        <w:rPr>
          <w:color w:val="444444"/>
          <w:sz w:val="20"/>
          <w:szCs w:val="20"/>
        </w:rPr>
        <w:t xml:space="preserve">Adoção efetiva condicionada à validação da área responsável e da Segurança da Informação, em aderência à LGPD.</w:t>
      </w:r>
    </w:p>
    <w:p>
      <w:pPr>
        <w:pBdr>
          <w:top w:val="single" w:color="CCCCCC" w:sz="4" w:space="1"/>
        </w:pBdr>
        <w:spacing w:before="180"/>
      </w:pPr>
      <w:r>
        <w:rPr>
          <w:i/>
          <w:iCs/>
          <w:color w:val="999999"/>
          <w:sz w:val="15"/>
          <w:szCs w:val="15"/>
        </w:rPr>
        <w:t xml:space="preserve">Programa Prev IA — Nota Técnica Sebrae Previdência nº 033/2026  |  Documento de até 2 páginas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 Cristina</dc:creator>
  <cp:lastModifiedBy>Un-named</cp:lastModifiedBy>
  <cp:revision>1</cp:revision>
  <dcterms:created xsi:type="dcterms:W3CDTF">2026-07-21T18:49:40.490Z</dcterms:created>
  <dcterms:modified xsi:type="dcterms:W3CDTF">2026-07-21T18:49:40.490Z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