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75B6"/>
          <w:sz w:val="24"/>
          <w:szCs w:val="24"/>
        </w:rPr>
        <w:t xml:space="preserve">PROGRAMA PREV IA — 1º CICLO</w:t>
      </w:r>
    </w:p>
    <w:p>
      <w:pPr>
        <w:spacing w:after="40"/>
        <w:jc w:val="center"/>
      </w:pPr>
      <w:r>
        <w:rPr>
          <w:b/>
          <w:bCs/>
          <w:color w:val="1F3B8C"/>
          <w:sz w:val="40"/>
          <w:szCs w:val="40"/>
        </w:rPr>
        <w:t xml:space="preserve">CENTRAL INTELIGENTE DE SEGUROS</w:t>
      </w:r>
    </w:p>
    <w:p>
      <w:pPr>
        <w:spacing w:after="30"/>
        <w:jc w:val="center"/>
      </w:pPr>
      <w:r>
        <w:rPr>
          <w:color w:val="2E75B6"/>
          <w:sz w:val="22"/>
          <w:szCs w:val="22"/>
        </w:rPr>
        <w:t xml:space="preserve">Documento de Projeto — Visão Completa da Solução (PRD)</w:t>
      </w:r>
    </w:p>
    <w:p>
      <w:pPr>
        <w:spacing w:after="140"/>
        <w:jc w:val="center"/>
      </w:pPr>
      <w:r>
        <w:rPr>
          <w:i/>
          <w:iCs/>
          <w:color w:val="777777"/>
          <w:sz w:val="18"/>
          <w:szCs w:val="18"/>
        </w:rPr>
        <w:t xml:space="preserve">Autora: Luciana Cristina  •  Área de Seguros (Risco – Morte e Invalidez)  •  Sebrae Previdência</w:t>
      </w:r>
    </w:p>
    <w:p>
      <w:pPr>
        <w:pBdr>
          <w:bottom w:val="single" w:color="1F3B8C" w:sz="10" w:space="1"/>
        </w:pBdr>
        <w:spacing w:after="120"/>
      </w:pP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1. Apresentação</w:t>
      </w:r>
    </w:p>
    <w:p>
      <w:pPr>
        <w:spacing w:after="100"/>
        <w:jc w:val="both"/>
      </w:pPr>
      <w:r>
        <w:rPr>
          <w:color w:val="444444"/>
          <w:sz w:val="21"/>
          <w:szCs w:val="21"/>
        </w:rPr>
        <w:t xml:space="preserve">A Central Inteligente de Seguros é uma iniciativa de transformação digital para centralizar, automatizar e integrar toda a operação de seguros do Sebrae Previdência. O projeto nasce de uma dor concreta e vivida no dia a dia da área: hoje não existe um módulo administrativo que conecte, em um único ambiente, os três agentes envolvidos na operação — a corretora, a seguradora (ICATU) e o estipulante (o próprio Sebrae Previdência).</w:t>
      </w:r>
    </w:p>
    <w:p>
      <w:pPr>
        <w:spacing w:after="100"/>
        <w:jc w:val="both"/>
      </w:pPr>
      <w:r>
        <w:rPr>
          <w:color w:val="444444"/>
          <w:sz w:val="21"/>
          <w:szCs w:val="21"/>
        </w:rPr>
        <w:t xml:space="preserve">A proposta cria esse elo por meio de um portal integrado, tendo no seu núcleo um assistente de Inteligência Artificial que dá acesso rápido e confiável às informações da carteira de seguros.</w:t>
      </w: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2. Objetivo Geral</w:t>
      </w:r>
    </w:p>
    <w:p>
      <w:pPr>
        <w:spacing w:after="100"/>
        <w:jc w:val="both"/>
      </w:pPr>
      <w:r>
        <w:rPr>
          <w:color w:val="444444"/>
          <w:sz w:val="21"/>
          <w:szCs w:val="21"/>
        </w:rPr>
        <w:t xml:space="preserve">Desenvolver uma plataforma integrada para a gestão comercial, operacional, financeira e gerencial dos seguros, conectada ao Trust Prev, à Área do Participante e à ICATU, com um assistente de IA que centraliza o acesso às informações e apoia a tomada de decisão.</w:t>
      </w: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3. Objetivos Específicos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Automatizar </w:t>
      </w:r>
      <w:r>
        <w:rPr>
          <w:color w:val="444444"/>
          <w:sz w:val="21"/>
          <w:szCs w:val="21"/>
        </w:rPr>
        <w:t xml:space="preserve">os processos manuais e repetitivos da área de seguros.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Integrar </w:t>
      </w:r>
      <w:r>
        <w:rPr>
          <w:color w:val="444444"/>
          <w:sz w:val="21"/>
          <w:szCs w:val="21"/>
        </w:rPr>
        <w:t xml:space="preserve">os sistemas hoje isolados, por meio de integração via API.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Eliminar </w:t>
      </w:r>
      <w:r>
        <w:rPr>
          <w:color w:val="444444"/>
          <w:sz w:val="21"/>
          <w:szCs w:val="21"/>
        </w:rPr>
        <w:t xml:space="preserve">o uso de planilhas e controles paralelos, reduzindo retrabalho.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Melhorar </w:t>
      </w:r>
      <w:r>
        <w:rPr>
          <w:color w:val="444444"/>
          <w:sz w:val="21"/>
          <w:szCs w:val="21"/>
        </w:rPr>
        <w:t xml:space="preserve">a experiência do participante no acesso a informações e serviços.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Disponibilizar </w:t>
      </w:r>
      <w:r>
        <w:rPr>
          <w:color w:val="444444"/>
          <w:sz w:val="21"/>
          <w:szCs w:val="21"/>
        </w:rPr>
        <w:t xml:space="preserve">dashboards e indicadores de gestão da carteira.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Impulsionar </w:t>
      </w:r>
      <w:r>
        <w:rPr>
          <w:color w:val="444444"/>
          <w:sz w:val="21"/>
          <w:szCs w:val="21"/>
        </w:rPr>
        <w:t xml:space="preserve">as vendas de seguros e do Plano Família.</w:t>
      </w: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4. Cenário Atual (AS IS)</w:t>
      </w:r>
    </w:p>
    <w:p>
      <w:pPr>
        <w:spacing w:after="100"/>
        <w:jc w:val="both"/>
      </w:pPr>
      <w:r>
        <w:rPr>
          <w:color w:val="444444"/>
          <w:sz w:val="21"/>
          <w:szCs w:val="21"/>
        </w:rPr>
        <w:t xml:space="preserve">Atualmente os controles estão distribuídos entre planilhas, e-mails, sistemas da corretora e sistemas da seguradora. Não há um ponto único de consulta da carteira de seguros de risco (morte e invalidez). Isso gera retrabalho na consolidação manual dos dados, baixa rastreabilidade, risco de perda de prazos de renovação e cobrança, e lentidão no atendimento a participantes e à gestão. Não existe, no mercado, um módulo administrativo que faça a ponte entre corretora, seguradora e estipulante — e é exatamente essa lacuna que o projeto preenche.</w:t>
      </w: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5. Arquitetura da Solução (TO BE)</w:t>
      </w:r>
    </w:p>
    <w:p>
      <w:pPr>
        <w:spacing w:after="100"/>
        <w:jc w:val="both"/>
      </w:pPr>
      <w:r>
        <w:rPr>
          <w:color w:val="444444"/>
          <w:sz w:val="21"/>
          <w:szCs w:val="21"/>
        </w:rPr>
        <w:t xml:space="preserve">A plataforma organiza-se em três camadas: as fontes de dados/agentes (corretora, seguradora e estipulante), a camada de integração (APIs, Trust Prev, Área do Participante) e a plataforma central com seus módulos, tendo o Núcleo IA Prev como coração da solução. Toda a operação é envolvida por uma camada de governança e segurança aderente à LGPD.</w:t>
      </w:r>
    </w:p>
    <w:p>
      <w:pPr>
        <w:spacing w:after="120" w:before="80"/>
        <w:jc w:val="center"/>
      </w:pPr>
      <w:r>
        <w:drawing>
          <wp:inline distT="0" distB="0" distL="0" distR="0">
            <wp:extent cx="5905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6. Módulos da Plataforma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B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300"/>
            <w:shd w:fill="1F3B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CRM Comercial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Gestão do relacionamento com participantes e prospects.</w:t>
            </w:r>
          </w:p>
        </w:tc>
      </w:tr>
      <w:t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Funil de Vendas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Acompanhamento de oportunidades de seguros e Plano Família.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Gestão de Seguros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Controle de apólices, vidas cobertas, coberturas e sinistros.</w:t>
            </w:r>
          </w:p>
        </w:tc>
      </w:tr>
      <w:t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Cobrança, controle de comissões e conciliação.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Documentos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Repositório e assinatura eletrônica.</w:t>
            </w:r>
          </w:p>
        </w:tc>
      </w:tr>
      <w:t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Workflow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Geração de tarefas, alertas, prazos e renovações.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Portal do Participante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Autoatendimento e consulta de informações.</w:t>
            </w:r>
          </w:p>
        </w:tc>
      </w:tr>
      <w:tr>
        <w:tc>
          <w:tcPr>
            <w:tcW w:type="dxa" w:w="3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Indicadores e KPIs de gestão da carteira.</w:t>
            </w:r>
          </w:p>
        </w:tc>
      </w:tr>
      <w:tr>
        <w:tc>
          <w:tcPr>
            <w:tcW w:type="dxa" w:w="3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★ Núcleo IA Prev</w:t>
            </w:r>
          </w:p>
        </w:tc>
        <w:tc>
          <w:tcPr>
            <w:tcW w:type="dxa" w:w="6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Assistente de IA: consultas em linguagem natural, priorização de pendências, relatórios e apoio à decisão.</w:t>
            </w:r>
          </w:p>
        </w:tc>
      </w:tr>
    </w:tbl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7. Automações e Inteligência Artificial</w:t>
      </w:r>
    </w:p>
    <w:p>
      <w:pPr>
        <w:spacing w:after="100"/>
        <w:jc w:val="both"/>
      </w:pPr>
      <w:r>
        <w:rPr>
          <w:color w:val="444444"/>
          <w:sz w:val="21"/>
          <w:szCs w:val="21"/>
        </w:rPr>
        <w:t xml:space="preserve">Automações previstas: envio de movimentações, geração de tarefas, alertas de renovação, cobrança de pendências, emissão de documentos e notificações.</w:t>
      </w:r>
    </w:p>
    <w:p>
      <w:pPr>
        <w:spacing w:after="100"/>
        <w:jc w:val="both"/>
      </w:pPr>
      <w:r>
        <w:rPr>
          <w:color w:val="444444"/>
          <w:sz w:val="21"/>
          <w:szCs w:val="21"/>
        </w:rPr>
        <w:t xml:space="preserve">O Núcleo IA Prev é o assistente que responde em linguagem natural sobre a carteira, identifica oportunidades, prioriza pendências, gera relatórios e resumos e apoia a decisão — sempre a partir do ambiente corporativo homologado.</w:t>
      </w: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8. Roadmap de Implantação por Fases</w:t>
      </w:r>
    </w:p>
    <w:p>
      <w:pPr>
        <w:spacing w:after="100"/>
        <w:jc w:val="both"/>
      </w:pPr>
      <w:r>
        <w:rPr>
          <w:i/>
          <w:iCs/>
          <w:color w:val="444444"/>
          <w:sz w:val="21"/>
          <w:szCs w:val="21"/>
        </w:rPr>
        <w:t xml:space="preserve">A construção é gradual, começando por um MVP simples e funcional (Fase 1) — que é o que será demonstrado no Prev IA — e evoluindo até a plataforma completa. Esse formato respeita o princípio do programa: “comece simples, teste, aprenda, evolua”.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200"/>
      </w:tblGrid>
      <w:tr>
        <w:trPr>
          <w:tblHeader/>
        </w:trPr>
        <w:tc>
          <w:tcPr>
            <w:tcW w:type="dxa" w:w="1900"/>
            <w:shd w:fill="1F3B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shd w:fill="1F3B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5200"/>
            <w:shd w:fill="1F3B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2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Prev IA (até out/2026)</w:t>
            </w:r>
          </w:p>
        </w:tc>
        <w:tc>
          <w:tcPr>
            <w:tcW w:type="dxa" w:w="5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Assistente de IA de consulta da carteira, no Microsoft 365 Copilot. Sem integração via API — usa dados que a área já possui. É o que será demonstrado no programa.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Fase 2</w:t>
            </w:r>
          </w:p>
        </w:tc>
        <w:tc>
          <w:tcPr>
            <w:tcW w:type="dxa" w:w="24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Curto prazo</w:t>
            </w:r>
          </w:p>
        </w:tc>
        <w:tc>
          <w:tcPr>
            <w:tcW w:type="dxa" w:w="5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Módulos de Gestão de Seguros, Workflow e Dashboard, com dados consolidados e automações de alertas/renovações.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Médio prazo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Integração via API com Trust Prev, ICATU e corretora; CRM, Funil de Vendas e Financeiro.</w:t>
            </w:r>
          </w:p>
        </w:tc>
      </w:tr>
      <w:tr>
        <w:tc>
          <w:tcPr>
            <w:tcW w:type="dxa" w:w="19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20"/>
                <w:szCs w:val="20"/>
              </w:rPr>
              <w:t xml:space="preserve">Fase 4</w:t>
            </w:r>
          </w:p>
        </w:tc>
        <w:tc>
          <w:tcPr>
            <w:tcW w:type="dxa" w:w="24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Longo prazo</w:t>
            </w:r>
          </w:p>
        </w:tc>
        <w:tc>
          <w:tcPr>
            <w:tcW w:type="dxa" w:w="52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Portal do Participante completo e assinatura eletrônica; plataforma integrada e replicável a outras áreas.</w:t>
            </w:r>
          </w:p>
        </w:tc>
      </w:tr>
    </w:tbl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9. Benefícios Esperados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Redução </w:t>
      </w:r>
      <w:r>
        <w:rPr>
          <w:color w:val="444444"/>
          <w:sz w:val="21"/>
          <w:szCs w:val="21"/>
        </w:rPr>
        <w:t xml:space="preserve">do tempo de consolidação manual e de busca de informações.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Menor risco </w:t>
      </w:r>
      <w:r>
        <w:rPr>
          <w:color w:val="444444"/>
          <w:sz w:val="21"/>
          <w:szCs w:val="21"/>
        </w:rPr>
        <w:t xml:space="preserve">de perda de prazos de renovação e cobrança.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Mais agilidade </w:t>
      </w:r>
      <w:r>
        <w:rPr>
          <w:color w:val="444444"/>
          <w:sz w:val="21"/>
          <w:szCs w:val="21"/>
        </w:rPr>
        <w:t xml:space="preserve">no atendimento a participantes e à gestão.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  <w:color w:val="444444"/>
          <w:sz w:val="21"/>
          <w:szCs w:val="21"/>
        </w:rPr>
        <w:t xml:space="preserve">Padronização </w:t>
      </w:r>
      <w:r>
        <w:rPr>
          <w:color w:val="444444"/>
          <w:sz w:val="21"/>
          <w:szCs w:val="21"/>
        </w:rPr>
        <w:t xml:space="preserve">e rastreabilidade das informações da carteira.</w:t>
      </w:r>
    </w:p>
    <w:p>
      <w:pPr>
        <w:spacing w:after="100"/>
        <w:jc w:val="both"/>
      </w:pPr>
      <w:r>
        <w:rPr>
          <w:i/>
          <w:iCs/>
          <w:color w:val="444444"/>
          <w:sz w:val="21"/>
          <w:szCs w:val="21"/>
        </w:rPr>
        <w:t xml:space="preserve">Indicador-chave: tempo médio para responder uma consulta sobre a carteira, comparado antes e depois da solução.</w:t>
      </w: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10. Conformidade e Segurança (LGPD)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color w:val="444444"/>
          <w:sz w:val="21"/>
          <w:szCs w:val="21"/>
        </w:rPr>
        <w:t xml:space="preserve">Desenvolvimento e operação exclusivamente em ambiente corporativo homologado (Microsoft 365 Copilot Business).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color w:val="444444"/>
          <w:sz w:val="21"/>
          <w:szCs w:val="21"/>
        </w:rPr>
        <w:t xml:space="preserve">Tratamento de dados sensíveis (saúde, DPS, laudos) apenas no ambiente aprovado; dados anonimizados na demonstração.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color w:val="444444"/>
          <w:sz w:val="21"/>
          <w:szCs w:val="21"/>
        </w:rPr>
        <w:t xml:space="preserve">Controle de acesso: cada usuário consulta apenas as informações às quais já tem autorização.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color w:val="444444"/>
          <w:sz w:val="21"/>
          <w:szCs w:val="21"/>
        </w:rPr>
        <w:t xml:space="preserve">Adoção efetiva condicionada à validação da área responsável e da Segurança da Informação, em aderência à LGPD.</w:t>
      </w:r>
    </w:p>
    <w:p>
      <w:pPr>
        <w:spacing w:after="100" w:before="260"/>
      </w:pPr>
      <w:r>
        <w:rPr>
          <w:b/>
          <w:bCs/>
          <w:color w:val="1F3B8C"/>
          <w:sz w:val="26"/>
          <w:szCs w:val="26"/>
        </w:rPr>
        <w:t xml:space="preserve">11. Próximas Etapas</w:t>
      </w:r>
    </w:p>
    <w:p>
      <w:pPr>
        <w:spacing w:after="100"/>
        <w:jc w:val="both"/>
      </w:pPr>
      <w:r>
        <w:rPr>
          <w:color w:val="444444"/>
          <w:sz w:val="21"/>
          <w:szCs w:val="21"/>
        </w:rPr>
        <w:t xml:space="preserve">Mapeamento AS IS detalhado, desenho TO BE, levantamento de requisitos funcionais, protótipos, validação de segurança e roadmap de desenvolvimento — iniciando pela Fase 1 (MVP) dentro do prazo do Programa Prev IA.</w:t>
      </w:r>
    </w:p>
    <w:p>
      <w:pPr>
        <w:pBdr>
          <w:top w:val="single" w:color="CCCCCC" w:sz="4" w:space="1"/>
        </w:pBdr>
        <w:spacing w:before="220"/>
      </w:pPr>
      <w:r>
        <w:rPr>
          <w:i/>
          <w:iCs/>
          <w:color w:val="999999"/>
          <w:sz w:val="16"/>
          <w:szCs w:val="16"/>
        </w:rPr>
        <w:t xml:space="preserve">Programa Prev IA — Nota Técnica Sebrae Previdência nº 033/2026  |  Central Inteligente de Seguros  |  Luciana Cristina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ef5f1a72f288bf66465f9a4676f0af715d637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 Cristina</dc:creator>
  <cp:lastModifiedBy>Un-named</cp:lastModifiedBy>
  <cp:revision>1</cp:revision>
  <dcterms:created xsi:type="dcterms:W3CDTF">2026-07-21T13:33:23.146Z</dcterms:created>
  <dcterms:modified xsi:type="dcterms:W3CDTF">2026-07-21T13:33:23.158Z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