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B8C"/>
          <w:sz w:val="30"/>
          <w:szCs w:val="30"/>
        </w:rPr>
        <w:t xml:space="preserve">ROTEIRO DO VÍDEO DEMONSTRATIVO</w:t>
      </w:r>
    </w:p>
    <w:p>
      <w:pPr>
        <w:spacing w:after="30"/>
        <w:jc w:val="center"/>
      </w:pPr>
      <w:r>
        <w:rPr>
          <w:color w:val="2E75B6"/>
          <w:sz w:val="22"/>
          <w:szCs w:val="22"/>
        </w:rPr>
        <w:t xml:space="preserve">Central Inteligente de Seguros — Programa Prev IA</w:t>
      </w:r>
    </w:p>
    <w:p>
      <w:pPr>
        <w:spacing w:after="150"/>
        <w:jc w:val="center"/>
      </w:pPr>
      <w:r>
        <w:rPr>
          <w:i/>
          <w:iCs/>
          <w:color w:val="777777"/>
          <w:sz w:val="18"/>
          <w:szCs w:val="18"/>
        </w:rPr>
        <w:t xml:space="preserve">Duração-alvo: até 3 minutos  ·  Autora: Luciana Cristina</w:t>
      </w:r>
    </w:p>
    <w:p>
      <w:pPr>
        <w:pBdr>
          <w:bottom w:val="single" w:color="1F3B8C" w:sz="8" w:space="1"/>
        </w:pBdr>
        <w:spacing w:after="150"/>
      </w:pPr>
    </w:p>
    <w:p>
      <w:pPr>
        <w:spacing w:after="90"/>
      </w:pPr>
      <w:r>
        <w:rPr>
          <w:i/>
          <w:iCs/>
          <w:color w:val="444444"/>
          <w:sz w:val="21"/>
          <w:szCs w:val="21"/>
        </w:rPr>
        <w:t xml:space="preserve">Este roteiro cronometrado mostra o que exibir na tela (navegando pelo protótipo) e o que narrar em cada momento. Grave a tela do portal enquanto lê a narração com calma. As falas somam cerca de 3 minutos.</w:t>
      </w:r>
    </w:p>
    <w:p>
      <w:pPr>
        <w:spacing w:after="100" w:before="240"/>
      </w:pPr>
      <w:r>
        <w:rPr>
          <w:b/>
          <w:bCs/>
          <w:color w:val="1F3B8C"/>
          <w:sz w:val="26"/>
          <w:szCs w:val="26"/>
        </w:rPr>
        <w:t xml:space="preserve">Roteiro cena a cena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400"/>
      </w:tblGrid>
      <w:tr>
        <w:trPr>
          <w:tblHeader/>
        </w:trPr>
        <w:tc>
          <w:tcPr>
            <w:tcW w:type="dxa" w:w="1500"/>
            <w:shd w:fill="1F3B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600"/>
            <w:shd w:fill="1F3B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mostrar</w:t>
            </w:r>
          </w:p>
        </w:tc>
        <w:tc>
          <w:tcPr>
            <w:tcW w:type="dxa" w:w="5400"/>
            <w:shd w:fill="1F3B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falar (narração)</w:t>
            </w:r>
          </w:p>
        </w:tc>
      </w:tr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0:00–0:20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Slide de capa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“Olá! Sou a Luciana, da área de Seguros. Hoje, nossa operação de seguros de risco — morte e invalidez — vive espalhada entre a corretora, a seguradora e nós, o estipulante. Não existe um lugar único para enxergar a carteira.”</w:t>
            </w:r>
          </w:p>
        </w:tc>
      </w:tr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0:20–0:40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Dashboard (abrir o portal)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“Foi por isso que criei a Central Inteligente de Seguros. Logo na entrada, o painel mostra o impacto: uma consulta que levava até 2 horas passa a levar 30 segundos. E o tempo de análise de sinistro caiu de 11 para 6 dias.”</w:t>
            </w:r>
          </w:p>
        </w:tc>
      </w:tr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0:40–1:05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Dashboard — KPIs e sino de alertas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“Aqui vejo apólices ativas, vidas cobertas e renovações a vencer. E o sistema me avisa de forma proativa: renovações da semana, boletos em aberto e inadimplentes em risco — tudo destacado pela IA.”</w:t>
            </w:r>
          </w:p>
        </w:tc>
      </w:tr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1:05–1:35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Assistente de IA (fazer 2 perguntas)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“Mas o coração da solução é este assistente. Eu simplesmente pergunto: ‘quais apólices vencem este mês?’ — e ele responde na hora. Posso perguntar sobre sinistros, comissões, inadimplência. É a carteira inteira ao alcance de uma frase.”</w:t>
            </w:r>
          </w:p>
        </w:tc>
      </w:tr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1:35–2:00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Movimentação &amp; Boletos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“A corretora envia a planilha de movimentação, que é processada aqui. E os boletos saem segregados por convênio — FENACON, OPBB, CORECON e FenaSebrae — por competência. Tudo organizado num só lugar.”</w:t>
            </w:r>
          </w:p>
        </w:tc>
      </w:tr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2:00–2:20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Inadimplência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“No controle de inadimplência, a IA monta a régua de cobrança por faixa de atraso e sugere a ação certa em cada caso — do aviso amigável ao risco de cancelamento.”</w:t>
            </w:r>
          </w:p>
        </w:tc>
      </w:tr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2:20–2:40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Perfil + Ramos/Produtos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“Cada agente vê só o que lhe compete — controle de acesso por perfil. E, embora hoje eu opere risco, a plataforma já nasce multiproduto: auto, viagem, bike e residencial entram sem recomeçar do zero. Motor único, vários ramos.”</w:t>
            </w:r>
          </w:p>
        </w:tc>
      </w:tr>
      <w:tr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B8C"/>
                <w:sz w:val="19"/>
                <w:szCs w:val="19"/>
              </w:rPr>
              <w:t xml:space="preserve">2:40–3:00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Slide de encerramento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“Tudo isso no ambiente Microsoft homologado, com dados protegidos e aderente à LGPD. A Central começa simples, resolvendo a dor de hoje, e cresce até a plataforma completa. Obrigada!”</w:t>
            </w:r>
          </w:p>
        </w:tc>
      </w:tr>
    </w:tbl>
    <w:p>
      <w:pPr>
        <w:spacing w:after="100" w:before="240"/>
      </w:pPr>
      <w:r>
        <w:rPr>
          <w:b/>
          <w:bCs/>
          <w:color w:val="1F3B8C"/>
          <w:sz w:val="26"/>
          <w:szCs w:val="26"/>
        </w:rPr>
        <w:t xml:space="preserve">Dicas de gravação</w:t>
      </w:r>
    </w:p>
    <w:p>
      <w:pPr>
        <w:spacing w:after="90"/>
      </w:pPr>
      <w:r>
        <w:rPr>
          <w:color w:val="444444"/>
          <w:sz w:val="21"/>
          <w:szCs w:val="21"/>
        </w:rPr>
        <w:t xml:space="preserve">• Grave a tela em 1080p, com o navegador em tela cheia (esconda a barra de favoritos).</w:t>
      </w:r>
    </w:p>
    <w:p>
      <w:pPr>
        <w:spacing w:after="90"/>
      </w:pPr>
      <w:r>
        <w:rPr>
          <w:color w:val="444444"/>
          <w:sz w:val="21"/>
          <w:szCs w:val="21"/>
        </w:rPr>
        <w:t xml:space="preserve">• Fale com calma; se passar de 3 minutos, corte a cena de Inadimplência ou a de Movimentação.</w:t>
      </w:r>
    </w:p>
    <w:p>
      <w:pPr>
        <w:spacing w:after="90"/>
      </w:pPr>
      <w:r>
        <w:rPr>
          <w:color w:val="444444"/>
          <w:sz w:val="21"/>
          <w:szCs w:val="21"/>
        </w:rPr>
        <w:t xml:space="preserve">• Deixe o cursor visível e mova-o devagar até cada elemento antes de clicar.</w:t>
      </w:r>
    </w:p>
    <w:p>
      <w:pPr>
        <w:spacing w:after="90"/>
      </w:pPr>
      <w:r>
        <w:rPr>
          <w:color w:val="444444"/>
          <w:sz w:val="21"/>
          <w:szCs w:val="21"/>
        </w:rPr>
        <w:t xml:space="preserve">• Reforce sempre que os dados são fictícios (o selo já aparece no menu do portal).</w:t>
      </w:r>
    </w:p>
    <w:p>
      <w:pPr>
        <w:spacing w:after="90"/>
      </w:pPr>
      <w:r>
        <w:rPr>
          <w:color w:val="444444"/>
          <w:sz w:val="21"/>
          <w:szCs w:val="21"/>
        </w:rPr>
        <w:t xml:space="preserve">• Ferramentas simples: Xbox Game Bar (Win+G) no Windows, ou o gravador de tela do PowerPoint.</w:t>
      </w:r>
    </w:p>
    <w:p>
      <w:pPr>
        <w:pBdr>
          <w:top w:val="single" w:color="CCCCCC" w:sz="4" w:space="1"/>
        </w:pBdr>
        <w:spacing w:before="220"/>
      </w:pPr>
      <w:r>
        <w:rPr>
          <w:i/>
          <w:iCs/>
          <w:color w:val="999999"/>
          <w:sz w:val="16"/>
          <w:szCs w:val="16"/>
        </w:rPr>
        <w:t xml:space="preserve">Programa Prev IA — Nota Técnica Sebrae Previdência nº 033/2026  ·  Central Inteligente de Seguros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 Cristina</dc:creator>
  <cp:lastModifiedBy>Un-named</cp:lastModifiedBy>
  <cp:revision>1</cp:revision>
  <dcterms:created xsi:type="dcterms:W3CDTF">2026-07-21T18:33:52.126Z</dcterms:created>
  <dcterms:modified xsi:type="dcterms:W3CDTF">2026-07-21T18:33:52.127Z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