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40"/>
      </w:pPr>
      <w:r>
        <w:rPr>
          <w:b/>
          <w:color w:val="F37021"/>
          <w:sz w:val="22"/>
        </w:rPr>
        <w:t>PROJETO DE FÁBRICA DE SOFTWARE</w:t>
      </w:r>
    </w:p>
    <w:p>
      <w:pPr>
        <w:spacing w:after="80"/>
      </w:pPr>
      <w:r>
        <w:rPr>
          <w:b/>
          <w:color w:val="141414"/>
          <w:sz w:val="64"/>
        </w:rPr>
        <w:t>BASTREET</w:t>
      </w:r>
    </w:p>
    <w:p>
      <w:pPr>
        <w:spacing w:after="440"/>
      </w:pPr>
      <w:r>
        <w:rPr>
          <w:color w:val="616161"/>
          <w:sz w:val="34"/>
        </w:rPr>
        <w:t>Requisitos e Banco de Dados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INSTITUIÇÃO</w:t>
            </w:r>
          </w:p>
        </w:tc>
        <w:tc>
          <w:tcPr>
            <w:tcW w:type="dxa" w:w="468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DISCIPLINA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spacing w:after="40"/>
            </w:pPr>
            <w:r>
              <w:t>UNINASSAU Olinda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>
              <w:t>Fábrica de Software</w:t>
            </w:r>
          </w:p>
        </w:tc>
      </w:tr>
    </w:tbl>
    <w:p>
      <w:pPr>
        <w:spacing w:after="0"/>
      </w:pPr>
    </w:p>
    <w:p>
      <w:pPr>
        <w:pStyle w:val="Heading2"/>
      </w:pPr>
      <w:r>
        <w:t>Integrantes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36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MATRÍCULA</w:t>
            </w:r>
          </w:p>
        </w:tc>
      </w:tr>
      <w:tr>
        <w:trPr>
          <w:cantSplit/>
        </w:trPr>
        <w:tc>
          <w:tcPr>
            <w:tcW w:type="dxa" w:w="7000"/>
            <w:vAlign w:val="top"/>
          </w:tcPr>
          <w:p>
            <w:pPr>
              <w:spacing w:after="40"/>
            </w:pPr>
            <w:r>
              <w:t>Bárbara Menezes Nolé</w:t>
            </w:r>
          </w:p>
        </w:tc>
        <w:tc>
          <w:tcPr>
            <w:tcW w:type="dxa" w:w="2360"/>
            <w:vAlign w:val="top"/>
          </w:tcPr>
          <w:p>
            <w:pPr>
              <w:spacing w:after="40"/>
            </w:pPr>
            <w:r>
              <w:t>01613473</w:t>
            </w:r>
          </w:p>
        </w:tc>
      </w:tr>
      <w:tr>
        <w:trPr>
          <w:cantSplit/>
        </w:trPr>
        <w:tc>
          <w:tcPr>
            <w:tcW w:type="dxa" w:w="7000"/>
            <w:vAlign w:val="top"/>
            <w:shd w:fill="F3F4F6"/>
          </w:tcPr>
          <w:p>
            <w:pPr>
              <w:spacing w:after="40"/>
            </w:pPr>
            <w:r>
              <w:t>Daniel de Moura Melo Filho</w:t>
            </w:r>
          </w:p>
        </w:tc>
        <w:tc>
          <w:tcPr>
            <w:tcW w:type="dxa" w:w="2360"/>
            <w:vAlign w:val="top"/>
            <w:shd w:fill="F3F4F6"/>
          </w:tcPr>
          <w:p>
            <w:pPr>
              <w:spacing w:after="40"/>
            </w:pPr>
            <w:r>
              <w:t>01590157</w:t>
            </w:r>
          </w:p>
        </w:tc>
      </w:tr>
      <w:tr>
        <w:trPr>
          <w:cantSplit/>
        </w:trPr>
        <w:tc>
          <w:tcPr>
            <w:tcW w:type="dxa" w:w="7000"/>
            <w:vAlign w:val="top"/>
          </w:tcPr>
          <w:p>
            <w:pPr>
              <w:spacing w:after="40"/>
            </w:pPr>
            <w:r>
              <w:t>Ruan Deud Rameh de Oliveira</w:t>
            </w:r>
          </w:p>
        </w:tc>
        <w:tc>
          <w:tcPr>
            <w:tcW w:type="dxa" w:w="2360"/>
            <w:vAlign w:val="top"/>
          </w:tcPr>
          <w:p>
            <w:pPr>
              <w:spacing w:after="40"/>
            </w:pPr>
            <w:r>
              <w:t>01647036</w:t>
            </w:r>
          </w:p>
        </w:tc>
      </w:tr>
    </w:tbl>
    <w:p>
      <w:pPr>
        <w:spacing w:after="0"/>
      </w:pPr>
    </w:p>
    <w:p>
      <w:pPr>
        <w:spacing w:before="280"/>
      </w:pPr>
      <w:r>
        <w:rPr>
          <w:i/>
          <w:color w:val="616161"/>
        </w:rPr>
        <w:t>Versão 1.0 • Recife/Olinda — 2026.2</w:t>
      </w:r>
    </w:p>
    <w:p>
      <w:r>
        <w:br w:type="page"/>
      </w:r>
    </w:p>
    <w:p>
      <w:pPr>
        <w:pStyle w:val="Heading1"/>
      </w:pPr>
      <w:r>
        <w:t>1. Requisitos funcionais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50"/>
        <w:gridCol w:w="6310"/>
      </w:tblGrid>
      <w:tr>
        <w:trPr>
          <w:tblHeader w:val="true"/>
        </w:trPr>
        <w:tc>
          <w:tcPr>
            <w:tcW w:type="dxa" w:w="9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5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631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DESCRIÇÃO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RF-01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Cadastro de usuário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Permitir o cadastro com nome, e-mail, senha, idade/data de nascimento, altura, posição, gênero, localização, nível declarado e dias/horários de disponibilidade.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RF-02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Autenticação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Permitir login por e-mail e senha, manter sessão autenticada e encerrar a sessão com segurança.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RF-03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Perfil do jogador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Exibir e permitir atualizar foto, nome, posição, altura, nível técnico, XP, partidas, vitórias, derrotas e pontuação semestral.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RF-04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Localização do dispositivo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Solicitar consentimento para usar o GPS, tratar recusa/indisponibilidade e usar Recife/PE como referência de contingência.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RF-05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Busca de quadras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Buscar quadras próximas à coordenada atual, combinar uma base curada com dados do OpenStreetMap e ordenar os resultados por distância.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RF-06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Mapa e rota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Centralizar o mapa no usuário, mostrar marcadores e detalhes das quadras e oferecer abertura de rota externa até a quadra selecionada.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RF-07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Presença em quadra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Permitir check-in do usuário em uma quadra e apresentar a presença recente de jogadores no local.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RF-08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Modos de partida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Disponibilizar partida normal, rápida e personalizada, com explicação clara do efeito de cada modalidade.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RF-09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Fila de matchmaking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Inserir e remover o usuário da fila, impedir duplicidade e informar quantidade de participantes e estado da busca.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RF-10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Formação de equipes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Cruzar nível técnico, altura, gênero e disponibilidade para sugerir equipes equilibradas, sem usar o ranking semestral como critério técnico.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RF-11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Partida personalizada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Permitir definir quadra, data, horário, regras, capacidade e convites para um evento organizado pelo usuário.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RF-12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Entrada em evento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Permitir entrar em um treino ou partida agendada e atualizar a lista e a quantidade de participantes.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RF-13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Confirmação e resultado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Permitir confirmar presença, registrar o time vencedor e consolidar o resultado da partida.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RF-14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Treinos individuais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Exibir treinos que possam ser feitos em casa ou em qualquer local e registrar sua conclusão diária.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RF-15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Treinos coletivos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Registrar treino em grupo vinculado a uma quadra e conceder pontuação superior à do treino individual.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RF-16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Progressão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Atualizar XP, nível técnico e pontos semestrais após atividades válidas e apresentar retorno imediato ao usuário.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RF-17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Ranking semestral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Exibir classificação por período letivo com filtros de cidade, geral e amigos, preparando a seleção para os campeonatos finais.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RF-18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Chat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Permitir envio e consulta de mensagens entre participantes, preservando autoria e ordem cronológica.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RF-19</w:t>
            </w:r>
          </w:p>
        </w:tc>
        <w:tc>
          <w:tcPr>
            <w:tcW w:type="dxa" w:w="2150"/>
            <w:vAlign w:val="top"/>
          </w:tcPr>
          <w:p>
            <w:pPr>
              <w:spacing w:after="40"/>
            </w:pPr>
            <w:r>
              <w:t>Respostas automatizadas</w:t>
            </w:r>
          </w:p>
        </w:tc>
        <w:tc>
          <w:tcPr>
            <w:tcW w:type="dxa" w:w="6310"/>
            <w:vAlign w:val="top"/>
          </w:tcPr>
          <w:p>
            <w:pPr>
              <w:spacing w:after="40"/>
            </w:pPr>
            <w:r>
              <w:t>Gerar respostas variadas de bots conforme palavras-chave e contexto básico da mensagem para sustentar a demonstração sem fluxo real de usuários.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RF-20</w:t>
            </w:r>
          </w:p>
        </w:tc>
        <w:tc>
          <w:tcPr>
            <w:tcW w:type="dxa" w:w="2150"/>
            <w:vAlign w:val="top"/>
            <w:shd w:fill="F3F4F6"/>
          </w:tcPr>
          <w:p>
            <w:pPr>
              <w:spacing w:after="40"/>
            </w:pPr>
            <w:r>
              <w:t>Administração</w:t>
            </w:r>
          </w:p>
        </w:tc>
        <w:tc>
          <w:tcPr>
            <w:tcW w:type="dxa" w:w="6310"/>
            <w:vAlign w:val="top"/>
            <w:shd w:fill="F3F4F6"/>
          </w:tcPr>
          <w:p>
            <w:pPr>
              <w:spacing w:after="40"/>
            </w:pPr>
            <w:r>
              <w:t>Permitir que administradores acompanhem usuários, quadras, eventos e registros relevantes para a demonstração acadêmica.</w:t>
            </w:r>
          </w:p>
        </w:tc>
      </w:tr>
    </w:tbl>
    <w:p>
      <w:pPr>
        <w:spacing w:after="0"/>
      </w:pPr>
    </w:p>
    <w:p>
      <w:pPr>
        <w:pStyle w:val="Heading1"/>
      </w:pPr>
      <w:r>
        <w:t>2. Requisitos não funcionais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6560"/>
      </w:tblGrid>
      <w:tr>
        <w:trPr>
          <w:tblHeader w:val="true"/>
        </w:trPr>
        <w:tc>
          <w:tcPr>
            <w:tcW w:type="dxa" w:w="9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type="dxa" w:w="656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CRITÉRIO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RNF-01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t>Usabilidade</w:t>
            </w:r>
          </w:p>
        </w:tc>
        <w:tc>
          <w:tcPr>
            <w:tcW w:type="dxa" w:w="6560"/>
            <w:vAlign w:val="top"/>
          </w:tcPr>
          <w:p>
            <w:pPr>
              <w:spacing w:after="40"/>
            </w:pPr>
            <w:r>
              <w:t>As ações principais devem estar acessíveis em até três interações a partir da tela inicial e apresentar confirmação visual de sucesso, espera e erro.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RNF-02</w:t>
            </w:r>
          </w:p>
        </w:tc>
        <w:tc>
          <w:tcPr>
            <w:tcW w:type="dxa" w:w="1900"/>
            <w:vAlign w:val="top"/>
            <w:shd w:fill="F3F4F6"/>
          </w:tcPr>
          <w:p>
            <w:pPr>
              <w:spacing w:after="40"/>
            </w:pPr>
            <w:r>
              <w:t>Responsividade</w:t>
            </w:r>
          </w:p>
        </w:tc>
        <w:tc>
          <w:tcPr>
            <w:tcW w:type="dxa" w:w="6560"/>
            <w:vAlign w:val="top"/>
            <w:shd w:fill="F3F4F6"/>
          </w:tcPr>
          <w:p>
            <w:pPr>
              <w:spacing w:after="40"/>
            </w:pPr>
            <w:r>
              <w:t>A interface deve funcionar de 360 px a monitores desktop sem perda de conteúdo ou controles.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RNF-03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t>Acessibilidade</w:t>
            </w:r>
          </w:p>
        </w:tc>
        <w:tc>
          <w:tcPr>
            <w:tcW w:type="dxa" w:w="6560"/>
            <w:vAlign w:val="top"/>
          </w:tcPr>
          <w:p>
            <w:pPr>
              <w:spacing w:after="40"/>
            </w:pPr>
            <w:r>
              <w:t>Deve preservar contraste mínimo WCAG AA, foco visível, rótulos compreensíveis e navegação por teclado nas ações essenciais.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RNF-04</w:t>
            </w:r>
          </w:p>
        </w:tc>
        <w:tc>
          <w:tcPr>
            <w:tcW w:type="dxa" w:w="1900"/>
            <w:vAlign w:val="top"/>
            <w:shd w:fill="F3F4F6"/>
          </w:tcPr>
          <w:p>
            <w:pPr>
              <w:spacing w:after="40"/>
            </w:pPr>
            <w:r>
              <w:t>Desempenho</w:t>
            </w:r>
          </w:p>
        </w:tc>
        <w:tc>
          <w:tcPr>
            <w:tcW w:type="dxa" w:w="6560"/>
            <w:vAlign w:val="top"/>
            <w:shd w:fill="F3F4F6"/>
          </w:tcPr>
          <w:p>
            <w:pPr>
              <w:spacing w:after="40"/>
            </w:pPr>
            <w:r>
              <w:t>Respostas internas devem atingir p95 de até 1 segundo; a busca externa de quadras deve informar carregamento e encerrar ou recorrer ao cache em até 12 segundos.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RNF-05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t>Disponibilidade</w:t>
            </w:r>
          </w:p>
        </w:tc>
        <w:tc>
          <w:tcPr>
            <w:tcW w:type="dxa" w:w="6560"/>
            <w:vAlign w:val="top"/>
          </w:tcPr>
          <w:p>
            <w:pPr>
              <w:spacing w:after="40"/>
            </w:pPr>
            <w:r>
              <w:t>O serviço deve expor verificação de saúde e buscar disponibilidade mensal mínima de 99% durante o período de apresentação.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RNF-06</w:t>
            </w:r>
          </w:p>
        </w:tc>
        <w:tc>
          <w:tcPr>
            <w:tcW w:type="dxa" w:w="1900"/>
            <w:vAlign w:val="top"/>
            <w:shd w:fill="F3F4F6"/>
          </w:tcPr>
          <w:p>
            <w:pPr>
              <w:spacing w:after="40"/>
            </w:pPr>
            <w:r>
              <w:t>Segurança</w:t>
            </w:r>
          </w:p>
        </w:tc>
        <w:tc>
          <w:tcPr>
            <w:tcW w:type="dxa" w:w="6560"/>
            <w:vAlign w:val="top"/>
            <w:shd w:fill="F3F4F6"/>
          </w:tcPr>
          <w:p>
            <w:pPr>
              <w:spacing w:after="40"/>
            </w:pPr>
            <w:r>
              <w:t>Senhas devem ser armazenadas apenas com hash forte e salt; sessões devem ser imprevisíveis, expiradas e transportadas por HTTPS em produção.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RNF-07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t>Privacidade e LGPD</w:t>
            </w:r>
          </w:p>
        </w:tc>
        <w:tc>
          <w:tcPr>
            <w:tcW w:type="dxa" w:w="6560"/>
            <w:vAlign w:val="top"/>
          </w:tcPr>
          <w:p>
            <w:pPr>
              <w:spacing w:after="40"/>
            </w:pPr>
            <w:r>
              <w:t>O GPS deve ser coletado mediante consentimento, usado somente para a finalidade informada e não persistido com precisão maior ou por período superior ao necessário.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RNF-08</w:t>
            </w:r>
          </w:p>
        </w:tc>
        <w:tc>
          <w:tcPr>
            <w:tcW w:type="dxa" w:w="1900"/>
            <w:vAlign w:val="top"/>
            <w:shd w:fill="F3F4F6"/>
          </w:tcPr>
          <w:p>
            <w:pPr>
              <w:spacing w:after="40"/>
            </w:pPr>
            <w:r>
              <w:t>Integridade</w:t>
            </w:r>
          </w:p>
        </w:tc>
        <w:tc>
          <w:tcPr>
            <w:tcW w:type="dxa" w:w="6560"/>
            <w:vAlign w:val="top"/>
            <w:shd w:fill="F3F4F6"/>
          </w:tcPr>
          <w:p>
            <w:pPr>
              <w:spacing w:after="40"/>
            </w:pPr>
            <w:r>
              <w:t>O banco deve impor chaves primárias, estrangeiras, unicidade, domínios e validações de faixa para impedir estados inválidos.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RNF-09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t>Resiliência</w:t>
            </w:r>
          </w:p>
        </w:tc>
        <w:tc>
          <w:tcPr>
            <w:tcW w:type="dxa" w:w="6560"/>
            <w:vAlign w:val="top"/>
          </w:tcPr>
          <w:p>
            <w:pPr>
              <w:spacing w:after="40"/>
            </w:pPr>
            <w:r>
              <w:t>Falhas do OpenStreetMap/Overpass não devem bloquear o restante do sistema; a aplicação deve usar cache e base de contingência.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RNF-10</w:t>
            </w:r>
          </w:p>
        </w:tc>
        <w:tc>
          <w:tcPr>
            <w:tcW w:type="dxa" w:w="1900"/>
            <w:vAlign w:val="top"/>
            <w:shd w:fill="F3F4F6"/>
          </w:tcPr>
          <w:p>
            <w:pPr>
              <w:spacing w:after="40"/>
            </w:pPr>
            <w:r>
              <w:t>Compatibilidade</w:t>
            </w:r>
          </w:p>
        </w:tc>
        <w:tc>
          <w:tcPr>
            <w:tcW w:type="dxa" w:w="6560"/>
            <w:vAlign w:val="top"/>
            <w:shd w:fill="F3F4F6"/>
          </w:tcPr>
          <w:p>
            <w:pPr>
              <w:spacing w:after="40"/>
            </w:pPr>
            <w:r>
              <w:t>A aplicação deve operar nas versões atuais de Chrome, Edge, Firefox e Safari, considerando que GPS exige HTTPS fora de localhost.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RNF-11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t>Manutenibilidade</w:t>
            </w:r>
          </w:p>
        </w:tc>
        <w:tc>
          <w:tcPr>
            <w:tcW w:type="dxa" w:w="6560"/>
            <w:vAlign w:val="top"/>
          </w:tcPr>
          <w:p>
            <w:pPr>
              <w:spacing w:after="40"/>
            </w:pPr>
            <w:r>
              <w:t>Requisitos, regras, esquema SQL e diagrama devem permanecer versionados e identificados no repositório.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RNF-12</w:t>
            </w:r>
          </w:p>
        </w:tc>
        <w:tc>
          <w:tcPr>
            <w:tcW w:type="dxa" w:w="1900"/>
            <w:vAlign w:val="top"/>
            <w:shd w:fill="F3F4F6"/>
          </w:tcPr>
          <w:p>
            <w:pPr>
              <w:spacing w:after="40"/>
            </w:pPr>
            <w:r>
              <w:t>Escalabilidade</w:t>
            </w:r>
          </w:p>
        </w:tc>
        <w:tc>
          <w:tcPr>
            <w:tcW w:type="dxa" w:w="6560"/>
            <w:vAlign w:val="top"/>
            <w:shd w:fill="F3F4F6"/>
          </w:tcPr>
          <w:p>
            <w:pPr>
              <w:spacing w:after="40"/>
            </w:pPr>
            <w:r>
              <w:t>A persistência-alvo deve ser relacional e permitir múltiplas instâncias da aplicação sem depender do disco efêmero do servidor.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RNF-13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t>Observabilidade</w:t>
            </w:r>
          </w:p>
        </w:tc>
        <w:tc>
          <w:tcPr>
            <w:tcW w:type="dxa" w:w="6560"/>
            <w:vAlign w:val="top"/>
          </w:tcPr>
          <w:p>
            <w:pPr>
              <w:spacing w:after="40"/>
            </w:pPr>
            <w:r>
              <w:t>Erros de API e integrações devem gerar logs com data, rota e contexto técnico, sem registrar senhas ou dados pessoais desnecessários.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RNF-14</w:t>
            </w:r>
          </w:p>
        </w:tc>
        <w:tc>
          <w:tcPr>
            <w:tcW w:type="dxa" w:w="1900"/>
            <w:vAlign w:val="top"/>
            <w:shd w:fill="F3F4F6"/>
          </w:tcPr>
          <w:p>
            <w:pPr>
              <w:spacing w:after="40"/>
            </w:pPr>
            <w:r>
              <w:t>Recuperação</w:t>
            </w:r>
          </w:p>
        </w:tc>
        <w:tc>
          <w:tcPr>
            <w:tcW w:type="dxa" w:w="6560"/>
            <w:vAlign w:val="top"/>
            <w:shd w:fill="F3F4F6"/>
          </w:tcPr>
          <w:p>
            <w:pPr>
              <w:spacing w:after="40"/>
            </w:pPr>
            <w:r>
              <w:t>Em produção acadêmica persistente, devem existir cópias automáticas e restauração testada do banco antes de campeonatos e apresentações.</w:t>
            </w:r>
          </w:p>
        </w:tc>
      </w:tr>
    </w:tbl>
    <w:p>
      <w:pPr>
        <w:spacing w:after="0"/>
      </w:pPr>
    </w:p>
    <w:p>
      <w:pPr>
        <w:pStyle w:val="Heading1"/>
      </w:pPr>
      <w:r>
        <w:t>3. Regras de negócio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6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REGRA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RN-01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O nível declarado calibra o perfil inicial, mas não corresponde ao ranking semestral.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RN-02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A classificação técnica usada para equilibrar equipes deve considerar desempenho/progressão e nunca a posição no ranking do semestre.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RN-03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O ranking semestral serve para classificação dos campeonatos finais de cada semestre letivo.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RN-04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Treinos coletivos realizados por meio de evento em quadra concedem o dobro dos pontos semestrais do valor-base da atividade.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RN-05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Treinos individuais concedem XP integral e metade do valor-base em pontos semestrais, com arredondamento para o inteiro mais próximo.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RN-06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O mesmo treino individual não pode ser pontuado mais de uma vez por usuário no mesmo dia.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RN-07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Treino coletivo pontuado deve estar associado a uma quadra e a evidência de participação, como inscrição/check-in.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RN-08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A composição das equipes deve minimizar a diferença de classificação técnica e distribuir altura e posições; gênero é usado apenas para composição inclusiva, nunca para atribuir valor técnico.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RN-09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O usuário só pode entrar em uma fila de matchmaking ativa por vez.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RN-10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A partida normal prioriza equilíbrio; a rápida amplia tolerâncias de nível, horário e distância para reduzir a espera.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RN-11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Uma partida oficial do MVP comporta dez jogadores, divididos em dois times de cinco; a demonstração pode formar times com quatro contas, identificando explicitamente esse modo.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RN-12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A busca de quadras começa em 8 km e pode ampliar automaticamente até 25 km quando houver poucos resultados.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RN-13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Sem GPS autorizado, a aplicação deve usar Torre, Recife/PE, como referência informada ao usuário e permitir nova tentativa.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RN-14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Resultados externos de quadras devem ser deduplicados por fonte/identificador e distância antes da exibição.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RN-15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Somente participantes confirmados podem compor uma partida; o número de inscritos não pode exceder a capacidade do evento.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RN-16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Mensagens vazias ou com mais de 2.000 caracteres não são aceitas; mensagens automatizadas devem ser identificadas como bot.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spacing w:after="40"/>
            </w:pPr>
            <w:r>
              <w:t>RN-17</w:t>
            </w:r>
          </w:p>
        </w:tc>
        <w:tc>
          <w:tcPr>
            <w:tcW w:type="dxa" w:w="8460"/>
            <w:vAlign w:val="top"/>
          </w:tcPr>
          <w:p>
            <w:pPr>
              <w:spacing w:after="40"/>
            </w:pPr>
            <w:r>
              <w:t>Senhas nunca podem ser gravadas em texto puro nem incluídas em respostas da API, logs, documentos ou repositório.</w:t>
            </w:r>
          </w:p>
        </w:tc>
      </w:tr>
      <w:tr>
        <w:trPr>
          <w:cantSplit/>
        </w:trPr>
        <w:tc>
          <w:tcPr>
            <w:tcW w:type="dxa" w:w="900"/>
            <w:vAlign w:val="top"/>
            <w:shd w:fill="F3F4F6"/>
          </w:tcPr>
          <w:p>
            <w:pPr>
              <w:spacing w:after="40"/>
            </w:pPr>
            <w:r>
              <w:t>RN-18</w:t>
            </w:r>
          </w:p>
        </w:tc>
        <w:tc>
          <w:tcPr>
            <w:tcW w:type="dxa" w:w="8460"/>
            <w:vAlign w:val="top"/>
            <w:shd w:fill="F3F4F6"/>
          </w:tcPr>
          <w:p>
            <w:pPr>
              <w:spacing w:after="40"/>
            </w:pPr>
            <w:r>
              <w:t>O fechamento do ranking deve congelar a pontuação do semestre; alterações posteriores pertencem ao período seguinte ou exigem auditoria administrativa.</w:t>
            </w:r>
          </w:p>
        </w:tc>
      </w:tr>
    </w:tbl>
    <w:p>
      <w:pPr>
        <w:spacing w:after="0"/>
      </w:pPr>
    </w:p>
    <w:p>
      <w:pPr>
        <w:pStyle w:val="Heading1"/>
      </w:pPr>
      <w:r>
        <w:t>4. Banco de dados</w:t>
      </w:r>
    </w:p>
    <w:p>
      <w:r>
        <w:t>O modelo de referência foi definido para PostgreSQL 16 ou superior e mantém separadas a classificação técnica do matchmaking e a pontuação semestral. O esquema é uma evolução compatível e versionada: não é executado automaticamente e, portanto, não altera o funcionamento atual da aplicação.</w:t>
      </w:r>
    </w:p>
    <w:p>
      <w:pPr>
        <w:pStyle w:val="Heading2"/>
      </w:pPr>
      <w:r>
        <w:t>4.1 Artefatos e acessos</w:t>
      </w:r>
    </w:p>
    <w:p>
      <w:pPr>
        <w:ind w:left="360"/>
      </w:pPr>
      <w:r>
        <w:rPr>
          <w:b/>
        </w:rPr>
        <w:t xml:space="preserve">Esquema SQL do banco: </w:t>
      </w:r>
      <w:hyperlink r:id="rId11">
        <w:r>
          <w:rPr>
            <w:color w:val="F37021"/>
            <w:u w:val="single"/>
          </w:rPr>
          <w:t>https://github.com/Joao-NB/Bastreet/blob/main/docs/database/schema.sql</w:t>
        </w:r>
      </w:hyperlink>
    </w:p>
    <w:p>
      <w:pPr>
        <w:ind w:left="360"/>
      </w:pPr>
      <w:r>
        <w:rPr>
          <w:b/>
        </w:rPr>
        <w:t xml:space="preserve">Diagrama ER no repositório: </w:t>
      </w:r>
      <w:hyperlink r:id="rId12">
        <w:r>
          <w:rPr>
            <w:color w:val="F37021"/>
            <w:u w:val="single"/>
          </w:rPr>
          <w:t>https://github.com/Joao-NB/Bastreet/blob/main/docs/database/diagrama-er.md</w:t>
        </w:r>
      </w:hyperlink>
    </w:p>
    <w:p>
      <w:pPr>
        <w:ind w:left="360"/>
      </w:pPr>
      <w:r>
        <w:rPr>
          <w:b/>
        </w:rPr>
        <w:t xml:space="preserve">Repositório do projeto: </w:t>
      </w:r>
      <w:hyperlink r:id="rId13">
        <w:r>
          <w:rPr>
            <w:color w:val="F37021"/>
            <w:u w:val="single"/>
          </w:rPr>
          <w:t>https://github.com/Joao-NB/Bastreet</w:t>
        </w:r>
      </w:hyperlink>
    </w:p>
    <w:p>
      <w:pPr>
        <w:ind w:left="360"/>
      </w:pPr>
      <w:r>
        <w:rPr>
          <w:b/>
        </w:rPr>
        <w:t xml:space="preserve">Aplicação publicada: </w:t>
      </w:r>
      <w:hyperlink r:id="rId14">
        <w:r>
          <w:rPr>
            <w:color w:val="F37021"/>
            <w:u w:val="single"/>
          </w:rPr>
          <w:t>https://bastreet.onrender.com</w:t>
        </w:r>
      </w:hyperlink>
    </w:p>
    <w:p>
      <w:pPr>
        <w:pStyle w:val="Heading2"/>
      </w:pPr>
      <w:r>
        <w:t>4.2 Estrutura de dados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35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TABELAS</w:t>
            </w:r>
          </w:p>
        </w:tc>
        <w:tc>
          <w:tcPr>
            <w:tcW w:type="dxa" w:w="406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t>Identidade e perfil</w:t>
            </w:r>
          </w:p>
        </w:tc>
        <w:tc>
          <w:tcPr>
            <w:tcW w:type="dxa" w:w="3500"/>
            <w:vAlign w:val="top"/>
          </w:tcPr>
          <w:p>
            <w:pPr>
              <w:spacing w:after="40"/>
            </w:pPr>
            <w:r>
              <w:t>users, player_profiles, player_availability</w:t>
            </w:r>
          </w:p>
        </w:tc>
        <w:tc>
          <w:tcPr>
            <w:tcW w:type="dxa" w:w="4060"/>
            <w:vAlign w:val="top"/>
          </w:tcPr>
          <w:p>
            <w:pPr>
              <w:spacing w:after="40"/>
            </w:pPr>
            <w:r>
              <w:t>Autenticação, atributos esportivos, localização e horários.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4F6"/>
          </w:tcPr>
          <w:p>
            <w:pPr>
              <w:spacing w:after="40"/>
            </w:pPr>
            <w:r>
              <w:t>Quadras e treino</w:t>
            </w:r>
          </w:p>
        </w:tc>
        <w:tc>
          <w:tcPr>
            <w:tcW w:type="dxa" w:w="3500"/>
            <w:vAlign w:val="top"/>
            <w:shd w:fill="F3F4F6"/>
          </w:tcPr>
          <w:p>
            <w:pPr>
              <w:spacing w:after="40"/>
            </w:pPr>
            <w:r>
              <w:t>courts, training_catalog, training_sessions, court_checkins</w:t>
            </w:r>
          </w:p>
        </w:tc>
        <w:tc>
          <w:tcPr>
            <w:tcW w:type="dxa" w:w="4060"/>
            <w:vAlign w:val="top"/>
            <w:shd w:fill="F3F4F6"/>
          </w:tcPr>
          <w:p>
            <w:pPr>
              <w:spacing w:after="40"/>
            </w:pPr>
            <w:r>
              <w:t>Catálogo geográfico, conclusão de atividades e validação presencial.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t>Eventos e partidas</w:t>
            </w:r>
          </w:p>
        </w:tc>
        <w:tc>
          <w:tcPr>
            <w:tcW w:type="dxa" w:w="3500"/>
            <w:vAlign w:val="top"/>
          </w:tcPr>
          <w:p>
            <w:pPr>
              <w:spacing w:after="40"/>
            </w:pPr>
            <w:r>
              <w:t>events, event_participants, matchmaking_queue, matches, match_players</w:t>
            </w:r>
          </w:p>
        </w:tc>
        <w:tc>
          <w:tcPr>
            <w:tcW w:type="dxa" w:w="4060"/>
            <w:vAlign w:val="top"/>
          </w:tcPr>
          <w:p>
            <w:pPr>
              <w:spacing w:after="40"/>
            </w:pPr>
            <w:r>
              <w:t>Agenda, inscrição, filas, equipes e resultado.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4F6"/>
          </w:tcPr>
          <w:p>
            <w:pPr>
              <w:spacing w:after="40"/>
            </w:pPr>
            <w:r>
              <w:t>Ranking</w:t>
            </w:r>
          </w:p>
        </w:tc>
        <w:tc>
          <w:tcPr>
            <w:tcW w:type="dxa" w:w="3500"/>
            <w:vAlign w:val="top"/>
            <w:shd w:fill="F3F4F6"/>
          </w:tcPr>
          <w:p>
            <w:pPr>
              <w:spacing w:after="40"/>
            </w:pPr>
            <w:r>
              <w:t>academic_semesters, ranking_entries</w:t>
            </w:r>
          </w:p>
        </w:tc>
        <w:tc>
          <w:tcPr>
            <w:tcW w:type="dxa" w:w="4060"/>
            <w:vAlign w:val="top"/>
            <w:shd w:fill="F3F4F6"/>
          </w:tcPr>
          <w:p>
            <w:pPr>
              <w:spacing w:after="40"/>
            </w:pPr>
            <w:r>
              <w:t>Pontuação isolada por semestre e fechamento do período.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t>Social</w:t>
            </w:r>
          </w:p>
        </w:tc>
        <w:tc>
          <w:tcPr>
            <w:tcW w:type="dxa" w:w="3500"/>
            <w:vAlign w:val="top"/>
          </w:tcPr>
          <w:p>
            <w:pPr>
              <w:spacing w:after="40"/>
            </w:pPr>
            <w:r>
              <w:t>conversations, conversation_members, messages</w:t>
            </w:r>
          </w:p>
        </w:tc>
        <w:tc>
          <w:tcPr>
            <w:tcW w:type="dxa" w:w="4060"/>
            <w:vAlign w:val="top"/>
          </w:tcPr>
          <w:p>
            <w:pPr>
              <w:spacing w:after="40"/>
            </w:pPr>
            <w:r>
              <w:t>Conversas, participantes, autoria humana e bots identificados.</w:t>
            </w:r>
          </w:p>
        </w:tc>
      </w:tr>
    </w:tbl>
    <w:p>
      <w:pPr>
        <w:spacing w:after="0"/>
      </w:pPr>
    </w:p>
    <w:p>
      <w:pPr>
        <w:pStyle w:val="Heading2"/>
      </w:pPr>
      <w:r>
        <w:t>4.3 Diagrama entidade-relacionamento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69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i/>
          <w:sz w:val="18"/>
        </w:rPr>
        <w:t>Figura 1 — Visão agrupada das entidades do banco BASTREET. A cardinalidade completa está disponível no diagrama Mermaid do repositório.</w:t>
      </w:r>
    </w:p>
    <w:p>
      <w:pPr>
        <w:pStyle w:val="Heading2"/>
      </w:pPr>
      <w:r>
        <w:t>4.4 Integridade e desempenho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7260"/>
            <w:shd w:fill="25252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APLICAÇÃO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t>Identificadores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t>UUID gerado no banco para evitar colisões entre instâncias.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4F6"/>
          </w:tcPr>
          <w:p>
            <w:pPr>
              <w:spacing w:after="40"/>
            </w:pPr>
            <w:r>
              <w:t>Relacionamentos</w:t>
            </w:r>
          </w:p>
        </w:tc>
        <w:tc>
          <w:tcPr>
            <w:tcW w:type="dxa" w:w="7260"/>
            <w:vAlign w:val="top"/>
            <w:shd w:fill="F3F4F6"/>
          </w:tcPr>
          <w:p>
            <w:pPr>
              <w:spacing w:after="40"/>
            </w:pPr>
            <w:r>
              <w:t>Chaves estrangeiras com exclusão em cascata ou preservação controlada conforme o domínio.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t>Validações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t>Restrições para e-mail, altura, coordenadas, horários, pontuação, capacidade e domínio de status.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4F6"/>
          </w:tcPr>
          <w:p>
            <w:pPr>
              <w:spacing w:after="40"/>
            </w:pPr>
            <w:r>
              <w:t>Unicidade</w:t>
            </w:r>
          </w:p>
        </w:tc>
        <w:tc>
          <w:tcPr>
            <w:tcW w:type="dxa" w:w="7260"/>
            <w:vAlign w:val="top"/>
            <w:shd w:fill="F3F4F6"/>
          </w:tcPr>
          <w:p>
            <w:pPr>
              <w:spacing w:after="40"/>
            </w:pPr>
            <w:r>
              <w:t>E-mail, código de treino, participação, entrada no ranking e fila ativa por usuário.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t>Índices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t>Localização, agenda de quadras, histórico de treinos, fila, ranking e mensagens cronológicas.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4F6"/>
          </w:tcPr>
          <w:p>
            <w:pPr>
              <w:spacing w:after="40"/>
            </w:pPr>
            <w:r>
              <w:t>Credenciais</w:t>
            </w:r>
          </w:p>
        </w:tc>
        <w:tc>
          <w:tcPr>
            <w:tcW w:type="dxa" w:w="7260"/>
            <w:vAlign w:val="top"/>
            <w:shd w:fill="F3F4F6"/>
          </w:tcPr>
          <w:p>
            <w:pPr>
              <w:spacing w:after="40"/>
            </w:pPr>
            <w:r>
              <w:t>Somente hash de senha; o esquema não contém coluna para senha em texto puro.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16161"/>
        <w:sz w:val="18"/>
      </w:rPr>
      <w:t>BASTREET  |  Especificação de requisitos 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F3702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25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525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oao-NB/Bastreet/blob/main/docs/database/schema.sql" TargetMode="External"/><Relationship Id="rId12" Type="http://schemas.openxmlformats.org/officeDocument/2006/relationships/hyperlink" Target="https://github.com/Joao-NB/Bastreet/blob/main/docs/database/diagrama-er.md" TargetMode="External"/><Relationship Id="rId13" Type="http://schemas.openxmlformats.org/officeDocument/2006/relationships/hyperlink" Target="https://github.com/Joao-NB/Bastreet" TargetMode="External"/><Relationship Id="rId14" Type="http://schemas.openxmlformats.org/officeDocument/2006/relationships/hyperlink" Target="https://bastreet.onrender.com" TargetMode="Externa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BASTREET — Requisitos e Banco de Dados</dc:title>
  <dc:subject>Fábrica de Software — UNINASSAU Olinda</dc:subject>
  <dc:creator>Bárbara Menezes Nolé; Daniel de Moura Melo Filho; Ruan Deud Rameh de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