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BF49" w14:textId="2F7E0F0B" w:rsidR="00D75CB9" w:rsidRPr="00946144" w:rsidRDefault="00D75CB9" w:rsidP="00561F9B">
      <w:pPr>
        <w:pStyle w:val="Header"/>
        <w:tabs>
          <w:tab w:val="clear" w:pos="4320"/>
          <w:tab w:val="clear" w:pos="8640"/>
          <w:tab w:val="center" w:pos="4513"/>
          <w:tab w:val="right" w:pos="9026"/>
        </w:tabs>
        <w:rPr>
          <w:rFonts w:ascii="Palatino Linotype" w:hAnsi="Palatino Linotype" w:cs="Arial"/>
          <w:b/>
          <w:sz w:val="32"/>
          <w:szCs w:val="32"/>
        </w:rPr>
      </w:pPr>
      <w:r w:rsidRPr="00946144">
        <w:rPr>
          <w:rFonts w:ascii="Palatino Linotype" w:hAnsi="Palatino Linotype" w:cs="Arial"/>
          <w:b/>
          <w:sz w:val="32"/>
          <w:szCs w:val="32"/>
        </w:rPr>
        <w:t xml:space="preserve">Freedom of Information Act </w:t>
      </w:r>
      <w:r w:rsidR="001855AF">
        <w:rPr>
          <w:rFonts w:ascii="Palatino Linotype" w:hAnsi="Palatino Linotype" w:cs="Arial"/>
          <w:b/>
          <w:sz w:val="32"/>
          <w:szCs w:val="32"/>
        </w:rPr>
        <w:t>Policy</w:t>
      </w:r>
    </w:p>
    <w:p w14:paraId="7872BF4A" w14:textId="77777777" w:rsidR="00D75CB9" w:rsidRPr="00946144" w:rsidRDefault="00D75CB9" w:rsidP="00561F9B">
      <w:pPr>
        <w:pStyle w:val="Header"/>
        <w:tabs>
          <w:tab w:val="clear" w:pos="4320"/>
          <w:tab w:val="clear" w:pos="8640"/>
          <w:tab w:val="center" w:pos="4513"/>
          <w:tab w:val="right" w:pos="9026"/>
        </w:tabs>
        <w:rPr>
          <w:rFonts w:ascii="Palatino Linotype" w:hAnsi="Palatino Linotype" w:cs="Arial"/>
          <w:b/>
          <w:sz w:val="24"/>
          <w:szCs w:val="24"/>
        </w:rPr>
      </w:pPr>
    </w:p>
    <w:p w14:paraId="1D96B005" w14:textId="77777777" w:rsidR="00E01A82" w:rsidRDefault="00D75CB9" w:rsidP="00561F9B">
      <w:pPr>
        <w:rPr>
          <w:rFonts w:ascii="Palatino Linotype" w:hAnsi="Palatino Linotype" w:cs="Arial"/>
          <w:sz w:val="24"/>
          <w:szCs w:val="24"/>
        </w:rPr>
      </w:pPr>
      <w:r w:rsidRPr="00946144">
        <w:rPr>
          <w:rFonts w:ascii="Palatino Linotype" w:hAnsi="Palatino Linotype" w:cs="Arial"/>
          <w:sz w:val="24"/>
          <w:szCs w:val="24"/>
        </w:rPr>
        <w:t>The Freedom</w:t>
      </w:r>
      <w:bookmarkStart w:id="0" w:name="_GoBack"/>
      <w:bookmarkEnd w:id="0"/>
      <w:r w:rsidRPr="00946144">
        <w:rPr>
          <w:rFonts w:ascii="Palatino Linotype" w:hAnsi="Palatino Linotype" w:cs="Arial"/>
          <w:sz w:val="24"/>
          <w:szCs w:val="24"/>
        </w:rPr>
        <w:t xml:space="preserve"> of Information </w:t>
      </w:r>
      <w:r w:rsidR="00E01A82">
        <w:rPr>
          <w:rFonts w:ascii="Palatino Linotype" w:hAnsi="Palatino Linotype" w:cs="Arial"/>
          <w:sz w:val="24"/>
          <w:szCs w:val="24"/>
        </w:rPr>
        <w:t>legislation</w:t>
      </w:r>
      <w:r w:rsidRPr="00946144">
        <w:rPr>
          <w:rFonts w:ascii="Palatino Linotype" w:hAnsi="Palatino Linotype" w:cs="Arial"/>
          <w:sz w:val="24"/>
          <w:szCs w:val="24"/>
        </w:rPr>
        <w:t xml:space="preserve"> </w:t>
      </w:r>
      <w:r w:rsidR="00E01A82">
        <w:rPr>
          <w:rFonts w:ascii="Palatino Linotype" w:hAnsi="Palatino Linotype" w:cs="Arial"/>
          <w:sz w:val="24"/>
          <w:szCs w:val="24"/>
        </w:rPr>
        <w:t xml:space="preserve">enables members of the public to request information from public bodies and public authorities. </w:t>
      </w:r>
    </w:p>
    <w:p w14:paraId="3A8EF76F" w14:textId="77777777" w:rsidR="00E01A82" w:rsidRDefault="00E01A82" w:rsidP="00561F9B">
      <w:pPr>
        <w:rPr>
          <w:rFonts w:ascii="Palatino Linotype" w:hAnsi="Palatino Linotype" w:cs="Arial"/>
          <w:sz w:val="24"/>
          <w:szCs w:val="24"/>
        </w:rPr>
      </w:pPr>
    </w:p>
    <w:p w14:paraId="248CDAC7" w14:textId="4E4A0C29" w:rsidR="00E01A82" w:rsidRDefault="000F6C8E" w:rsidP="00561F9B">
      <w:pPr>
        <w:rPr>
          <w:rFonts w:ascii="Palatino Linotype" w:hAnsi="Palatino Linotype" w:cs="Arial"/>
          <w:sz w:val="24"/>
          <w:szCs w:val="24"/>
        </w:rPr>
      </w:pPr>
      <w:r>
        <w:rPr>
          <w:rFonts w:ascii="Palatino Linotype" w:hAnsi="Palatino Linotype" w:cs="Arial"/>
          <w:sz w:val="24"/>
          <w:szCs w:val="24"/>
        </w:rPr>
        <w:t xml:space="preserve">In Scotland, the Freedom of Information (Scotland) Act 2002 applies. </w:t>
      </w:r>
      <w:r w:rsidR="00E01A82">
        <w:rPr>
          <w:rFonts w:ascii="Palatino Linotype" w:hAnsi="Palatino Linotype" w:cs="Arial"/>
          <w:sz w:val="24"/>
          <w:szCs w:val="24"/>
        </w:rPr>
        <w:t>In England, Wales and Northern Ireland</w:t>
      </w:r>
      <w:r>
        <w:rPr>
          <w:rFonts w:ascii="Palatino Linotype" w:hAnsi="Palatino Linotype" w:cs="Arial"/>
          <w:sz w:val="24"/>
          <w:szCs w:val="24"/>
        </w:rPr>
        <w:t>,</w:t>
      </w:r>
      <w:r w:rsidR="00E01A82">
        <w:rPr>
          <w:rFonts w:ascii="Palatino Linotype" w:hAnsi="Palatino Linotype" w:cs="Arial"/>
          <w:sz w:val="24"/>
          <w:szCs w:val="24"/>
        </w:rPr>
        <w:t xml:space="preserve"> </w:t>
      </w:r>
      <w:r>
        <w:rPr>
          <w:rFonts w:ascii="Palatino Linotype" w:hAnsi="Palatino Linotype" w:cs="Arial"/>
          <w:sz w:val="24"/>
          <w:szCs w:val="24"/>
        </w:rPr>
        <w:t xml:space="preserve">the Freedom of Information Act 2000 </w:t>
      </w:r>
      <w:r w:rsidR="00561F9B">
        <w:rPr>
          <w:rFonts w:ascii="Palatino Linotype" w:hAnsi="Palatino Linotype" w:cs="Arial"/>
          <w:sz w:val="24"/>
          <w:szCs w:val="24"/>
        </w:rPr>
        <w:t xml:space="preserve">(“FOIA”) </w:t>
      </w:r>
      <w:r>
        <w:rPr>
          <w:rFonts w:ascii="Palatino Linotype" w:hAnsi="Palatino Linotype" w:cs="Arial"/>
          <w:sz w:val="24"/>
          <w:szCs w:val="24"/>
        </w:rPr>
        <w:t xml:space="preserve">applies. </w:t>
      </w:r>
    </w:p>
    <w:p w14:paraId="20E93AF6" w14:textId="77777777" w:rsidR="00E01A82" w:rsidRDefault="00E01A82" w:rsidP="00561F9B">
      <w:pPr>
        <w:rPr>
          <w:rFonts w:ascii="Palatino Linotype" w:hAnsi="Palatino Linotype" w:cs="Arial"/>
          <w:sz w:val="24"/>
          <w:szCs w:val="24"/>
        </w:rPr>
      </w:pPr>
    </w:p>
    <w:p w14:paraId="7728B3C2" w14:textId="4461265D" w:rsidR="00E01A82" w:rsidRDefault="000F6C8E" w:rsidP="00561F9B">
      <w:pPr>
        <w:rPr>
          <w:rFonts w:ascii="Palatino Linotype" w:hAnsi="Palatino Linotype" w:cs="Arial"/>
          <w:sz w:val="24"/>
          <w:szCs w:val="24"/>
        </w:rPr>
      </w:pPr>
      <w:r>
        <w:rPr>
          <w:rFonts w:ascii="Palatino Linotype" w:hAnsi="Palatino Linotype" w:cs="Arial"/>
          <w:sz w:val="24"/>
          <w:szCs w:val="24"/>
        </w:rPr>
        <w:t xml:space="preserve">The Acts enable the public to request </w:t>
      </w:r>
      <w:r w:rsidR="00D75CB9" w:rsidRPr="00946144">
        <w:rPr>
          <w:rFonts w:ascii="Palatino Linotype" w:hAnsi="Palatino Linotype" w:cs="Arial"/>
          <w:sz w:val="24"/>
          <w:szCs w:val="24"/>
        </w:rPr>
        <w:t>information that it holds</w:t>
      </w:r>
      <w:r>
        <w:rPr>
          <w:rFonts w:ascii="Palatino Linotype" w:hAnsi="Palatino Linotype" w:cs="Arial"/>
          <w:sz w:val="24"/>
          <w:szCs w:val="24"/>
        </w:rPr>
        <w:t xml:space="preserve"> from public bodies</w:t>
      </w:r>
      <w:r w:rsidR="00D75CB9" w:rsidRPr="00946144">
        <w:rPr>
          <w:rFonts w:ascii="Palatino Linotype" w:hAnsi="Palatino Linotype" w:cs="Arial"/>
          <w:sz w:val="24"/>
          <w:szCs w:val="24"/>
        </w:rPr>
        <w:t xml:space="preserve">. </w:t>
      </w:r>
    </w:p>
    <w:p w14:paraId="5E098A6F" w14:textId="2F10BD8F" w:rsidR="000F6C8E" w:rsidRDefault="000F6C8E" w:rsidP="00561F9B">
      <w:pPr>
        <w:rPr>
          <w:rFonts w:ascii="Palatino Linotype" w:hAnsi="Palatino Linotype" w:cs="Arial"/>
          <w:sz w:val="24"/>
          <w:szCs w:val="24"/>
        </w:rPr>
      </w:pPr>
    </w:p>
    <w:p w14:paraId="3044ECBE" w14:textId="2B98CEFD" w:rsidR="000F6C8E" w:rsidRDefault="000F6C8E" w:rsidP="00561F9B">
      <w:pPr>
        <w:rPr>
          <w:rFonts w:ascii="Palatino Linotype" w:hAnsi="Palatino Linotype" w:cs="Arial"/>
          <w:sz w:val="24"/>
          <w:szCs w:val="24"/>
        </w:rPr>
      </w:pPr>
      <w:r>
        <w:rPr>
          <w:rFonts w:ascii="Palatino Linotype" w:hAnsi="Palatino Linotype" w:cs="Arial"/>
          <w:sz w:val="24"/>
          <w:szCs w:val="24"/>
        </w:rPr>
        <w:t xml:space="preserve">Schedule 1 of the Act sets out the bodies which are classed as public authorities. </w:t>
      </w:r>
    </w:p>
    <w:p w14:paraId="5CD00111" w14:textId="77777777" w:rsidR="00E01A82" w:rsidRDefault="00E01A82" w:rsidP="00561F9B">
      <w:pPr>
        <w:rPr>
          <w:rFonts w:ascii="Palatino Linotype" w:hAnsi="Palatino Linotype" w:cs="Arial"/>
          <w:sz w:val="24"/>
          <w:szCs w:val="24"/>
        </w:rPr>
      </w:pPr>
    </w:p>
    <w:p w14:paraId="7872BF4E" w14:textId="77777777" w:rsidR="00D75CB9" w:rsidRPr="00FC63C3" w:rsidRDefault="00D75CB9" w:rsidP="00561F9B">
      <w:pPr>
        <w:pStyle w:val="Customisabledocumentheading"/>
        <w:rPr>
          <w:rFonts w:ascii="Palatino Linotype" w:hAnsi="Palatino Linotype" w:cs="Arial"/>
          <w:sz w:val="28"/>
          <w:szCs w:val="24"/>
        </w:rPr>
      </w:pPr>
      <w:r w:rsidRPr="00FC63C3">
        <w:rPr>
          <w:rFonts w:ascii="Palatino Linotype" w:hAnsi="Palatino Linotype" w:cs="Arial"/>
          <w:sz w:val="28"/>
          <w:szCs w:val="24"/>
        </w:rPr>
        <w:t>Principles</w:t>
      </w:r>
    </w:p>
    <w:p w14:paraId="40A1DA9F" w14:textId="77777777" w:rsidR="000F6C8E" w:rsidRDefault="000F6C8E" w:rsidP="00561F9B">
      <w:pPr>
        <w:rPr>
          <w:rFonts w:ascii="Palatino Linotype" w:hAnsi="Palatino Linotype" w:cs="Arial"/>
          <w:sz w:val="24"/>
          <w:szCs w:val="24"/>
        </w:rPr>
      </w:pPr>
      <w:r w:rsidRPr="000F6C8E">
        <w:rPr>
          <w:rFonts w:ascii="Palatino Linotype" w:hAnsi="Palatino Linotype" w:cs="Arial"/>
          <w:sz w:val="24"/>
          <w:szCs w:val="24"/>
        </w:rPr>
        <w:t xml:space="preserve">The main principle behind </w:t>
      </w:r>
      <w:r>
        <w:rPr>
          <w:rFonts w:ascii="Palatino Linotype" w:hAnsi="Palatino Linotype" w:cs="Arial"/>
          <w:sz w:val="24"/>
          <w:szCs w:val="24"/>
        </w:rPr>
        <w:t xml:space="preserve">the </w:t>
      </w:r>
      <w:r w:rsidRPr="000F6C8E">
        <w:rPr>
          <w:rFonts w:ascii="Palatino Linotype" w:hAnsi="Palatino Linotype" w:cs="Arial"/>
          <w:sz w:val="24"/>
          <w:szCs w:val="24"/>
        </w:rPr>
        <w:t>freedom of information legislation</w:t>
      </w:r>
      <w:r>
        <w:rPr>
          <w:rFonts w:ascii="Palatino Linotype" w:hAnsi="Palatino Linotype" w:cs="Arial"/>
          <w:sz w:val="24"/>
          <w:szCs w:val="24"/>
        </w:rPr>
        <w:t xml:space="preserve"> is to give members of the public the right </w:t>
      </w:r>
      <w:r w:rsidRPr="000F6C8E">
        <w:rPr>
          <w:rFonts w:ascii="Palatino Linotype" w:hAnsi="Palatino Linotype" w:cs="Arial"/>
          <w:sz w:val="24"/>
          <w:szCs w:val="24"/>
        </w:rPr>
        <w:t xml:space="preserve">to know about the activities of public authorities, unless there is a good reason for them not to. </w:t>
      </w:r>
    </w:p>
    <w:p w14:paraId="4B8FAF9A" w14:textId="77777777" w:rsidR="000F6C8E" w:rsidRDefault="000F6C8E" w:rsidP="00561F9B">
      <w:pPr>
        <w:rPr>
          <w:rFonts w:ascii="Palatino Linotype" w:hAnsi="Palatino Linotype" w:cs="Arial"/>
          <w:sz w:val="24"/>
          <w:szCs w:val="24"/>
        </w:rPr>
      </w:pPr>
    </w:p>
    <w:p w14:paraId="6CB189FC" w14:textId="7337BDB4" w:rsidR="000F6C8E" w:rsidRDefault="000F6C8E" w:rsidP="00561F9B">
      <w:pPr>
        <w:rPr>
          <w:rFonts w:ascii="Palatino Linotype" w:hAnsi="Palatino Linotype" w:cs="Arial"/>
          <w:sz w:val="24"/>
          <w:szCs w:val="24"/>
        </w:rPr>
      </w:pPr>
      <w:r>
        <w:rPr>
          <w:rFonts w:ascii="Palatino Linotype" w:hAnsi="Palatino Linotype" w:cs="Arial"/>
          <w:sz w:val="24"/>
          <w:szCs w:val="24"/>
        </w:rPr>
        <w:t xml:space="preserve">There is a </w:t>
      </w:r>
      <w:r w:rsidRPr="000F6C8E">
        <w:rPr>
          <w:rFonts w:ascii="Palatino Linotype" w:hAnsi="Palatino Linotype" w:cs="Arial"/>
          <w:sz w:val="24"/>
          <w:szCs w:val="24"/>
        </w:rPr>
        <w:t>presumption in favour</w:t>
      </w:r>
      <w:r>
        <w:rPr>
          <w:rFonts w:ascii="Palatino Linotype" w:hAnsi="Palatino Linotype" w:cs="Arial"/>
          <w:sz w:val="24"/>
          <w:szCs w:val="24"/>
        </w:rPr>
        <w:t xml:space="preserve"> of disclosure, meaning e</w:t>
      </w:r>
      <w:r w:rsidRPr="000F6C8E">
        <w:rPr>
          <w:rFonts w:ascii="Palatino Linotype" w:hAnsi="Palatino Linotype" w:cs="Arial"/>
          <w:sz w:val="24"/>
          <w:szCs w:val="24"/>
        </w:rPr>
        <w:t xml:space="preserve">verybody has a right to access official information. Disclosure of information should be the default </w:t>
      </w:r>
      <w:r>
        <w:rPr>
          <w:rFonts w:ascii="Palatino Linotype" w:hAnsi="Palatino Linotype" w:cs="Arial"/>
          <w:sz w:val="24"/>
          <w:szCs w:val="24"/>
        </w:rPr>
        <w:t xml:space="preserve">and </w:t>
      </w:r>
      <w:r w:rsidRPr="000F6C8E">
        <w:rPr>
          <w:rFonts w:ascii="Palatino Linotype" w:hAnsi="Palatino Linotype" w:cs="Arial"/>
          <w:sz w:val="24"/>
          <w:szCs w:val="24"/>
        </w:rPr>
        <w:t>information should be kept private o</w:t>
      </w:r>
      <w:r>
        <w:rPr>
          <w:rFonts w:ascii="Palatino Linotype" w:hAnsi="Palatino Linotype" w:cs="Arial"/>
          <w:sz w:val="24"/>
          <w:szCs w:val="24"/>
        </w:rPr>
        <w:t>nly when there is a good reason.</w:t>
      </w:r>
      <w:r w:rsidR="009475E3">
        <w:rPr>
          <w:rFonts w:ascii="Palatino Linotype" w:hAnsi="Palatino Linotype" w:cs="Arial"/>
          <w:sz w:val="24"/>
          <w:szCs w:val="24"/>
        </w:rPr>
        <w:t xml:space="preserve"> The person applying for the information does not need to give a reason, but the Company must give a reason if it is attempting to justify refusing to give the information. </w:t>
      </w:r>
    </w:p>
    <w:p w14:paraId="5CE8B539" w14:textId="77777777" w:rsidR="009475E3" w:rsidRDefault="009475E3" w:rsidP="00561F9B">
      <w:pPr>
        <w:rPr>
          <w:rFonts w:ascii="Palatino Linotype" w:hAnsi="Palatino Linotype" w:cs="Arial"/>
          <w:sz w:val="24"/>
          <w:szCs w:val="24"/>
        </w:rPr>
      </w:pPr>
    </w:p>
    <w:p w14:paraId="7EE1688A" w14:textId="32D4F093" w:rsidR="000F6C8E" w:rsidRDefault="000F6C8E" w:rsidP="00561F9B">
      <w:pPr>
        <w:rPr>
          <w:rFonts w:ascii="Palatino Linotype" w:hAnsi="Palatino Linotype" w:cs="Arial"/>
          <w:sz w:val="24"/>
          <w:szCs w:val="24"/>
        </w:rPr>
      </w:pPr>
      <w:r w:rsidRPr="009475E3">
        <w:rPr>
          <w:rFonts w:ascii="Palatino Linotype" w:hAnsi="Palatino Linotype" w:cs="Arial"/>
          <w:sz w:val="24"/>
          <w:szCs w:val="24"/>
        </w:rPr>
        <w:t>It is only possible to keep information private where this is allowed by the Act.</w:t>
      </w:r>
    </w:p>
    <w:p w14:paraId="2E1DF97E" w14:textId="77777777" w:rsidR="009475E3" w:rsidRPr="009475E3" w:rsidRDefault="009475E3" w:rsidP="00561F9B">
      <w:pPr>
        <w:rPr>
          <w:rFonts w:ascii="Palatino Linotype" w:hAnsi="Palatino Linotype" w:cs="Arial"/>
          <w:sz w:val="24"/>
          <w:szCs w:val="24"/>
        </w:rPr>
      </w:pPr>
    </w:p>
    <w:p w14:paraId="715E6DBC" w14:textId="20AF478B" w:rsidR="000F6C8E" w:rsidRDefault="000F6C8E" w:rsidP="00561F9B">
      <w:pPr>
        <w:rPr>
          <w:rFonts w:ascii="Palatino Linotype" w:hAnsi="Palatino Linotype" w:cs="Arial"/>
          <w:sz w:val="24"/>
          <w:szCs w:val="24"/>
        </w:rPr>
      </w:pPr>
      <w:r w:rsidRPr="000F6C8E">
        <w:rPr>
          <w:rFonts w:ascii="Palatino Linotype" w:hAnsi="Palatino Linotype" w:cs="Arial"/>
          <w:sz w:val="24"/>
          <w:szCs w:val="24"/>
        </w:rPr>
        <w:t xml:space="preserve">The information </w:t>
      </w:r>
      <w:r w:rsidR="009475E3">
        <w:rPr>
          <w:rFonts w:ascii="Palatino Linotype" w:hAnsi="Palatino Linotype" w:cs="Arial"/>
          <w:sz w:val="24"/>
          <w:szCs w:val="24"/>
        </w:rPr>
        <w:t xml:space="preserve">that </w:t>
      </w:r>
      <w:r w:rsidRPr="000F6C8E">
        <w:rPr>
          <w:rFonts w:ascii="Palatino Linotype" w:hAnsi="Palatino Linotype" w:cs="Arial"/>
          <w:sz w:val="24"/>
          <w:szCs w:val="24"/>
        </w:rPr>
        <w:t xml:space="preserve">someone can </w:t>
      </w:r>
      <w:r w:rsidR="009475E3">
        <w:rPr>
          <w:rFonts w:ascii="Palatino Linotype" w:hAnsi="Palatino Linotype" w:cs="Arial"/>
          <w:sz w:val="24"/>
          <w:szCs w:val="24"/>
        </w:rPr>
        <w:t xml:space="preserve">obtain </w:t>
      </w:r>
      <w:r w:rsidRPr="000F6C8E">
        <w:rPr>
          <w:rFonts w:ascii="Palatino Linotype" w:hAnsi="Palatino Linotype" w:cs="Arial"/>
          <w:sz w:val="24"/>
          <w:szCs w:val="24"/>
        </w:rPr>
        <w:t xml:space="preserve">should not be affected by who they are. </w:t>
      </w:r>
      <w:r w:rsidR="009475E3">
        <w:rPr>
          <w:rFonts w:ascii="Palatino Linotype" w:hAnsi="Palatino Linotype" w:cs="Arial"/>
          <w:sz w:val="24"/>
          <w:szCs w:val="24"/>
        </w:rPr>
        <w:t xml:space="preserve">All those requesting information should be treated </w:t>
      </w:r>
      <w:r w:rsidRPr="000F6C8E">
        <w:rPr>
          <w:rFonts w:ascii="Palatino Linotype" w:hAnsi="Palatino Linotype" w:cs="Arial"/>
          <w:sz w:val="24"/>
          <w:szCs w:val="24"/>
        </w:rPr>
        <w:t>equally, whether they are journalists, local residents, public authority employees, or researchers</w:t>
      </w:r>
      <w:r w:rsidR="009475E3">
        <w:rPr>
          <w:rFonts w:ascii="Palatino Linotype" w:hAnsi="Palatino Linotype" w:cs="Arial"/>
          <w:sz w:val="24"/>
          <w:szCs w:val="24"/>
        </w:rPr>
        <w:t xml:space="preserve">. The Company will consider that a release being made under the Act is being released to the world at large. </w:t>
      </w:r>
    </w:p>
    <w:p w14:paraId="7F585943" w14:textId="47E0C83D" w:rsidR="009475E3" w:rsidRDefault="009475E3" w:rsidP="00561F9B">
      <w:pPr>
        <w:rPr>
          <w:rFonts w:ascii="Palatino Linotype" w:hAnsi="Palatino Linotype" w:cs="Arial"/>
          <w:sz w:val="24"/>
          <w:szCs w:val="24"/>
        </w:rPr>
      </w:pPr>
    </w:p>
    <w:p w14:paraId="156EA7CD" w14:textId="5ACC716F" w:rsidR="009475E3" w:rsidRDefault="009475E3" w:rsidP="00561F9B">
      <w:pPr>
        <w:rPr>
          <w:rFonts w:ascii="Palatino Linotype" w:hAnsi="Palatino Linotype" w:cs="Arial"/>
          <w:sz w:val="24"/>
          <w:szCs w:val="24"/>
        </w:rPr>
      </w:pPr>
      <w:r>
        <w:rPr>
          <w:rFonts w:ascii="Palatino Linotype" w:hAnsi="Palatino Linotype" w:cs="Arial"/>
          <w:sz w:val="24"/>
          <w:szCs w:val="24"/>
        </w:rPr>
        <w:t xml:space="preserve">The Company is required by the law to provide advice and/or assistance to those requesting information under the Act, confirming whether it holds such information (unless an exemption applies). </w:t>
      </w:r>
    </w:p>
    <w:p w14:paraId="7028862A" w14:textId="1C1035E9" w:rsidR="009475E3" w:rsidRDefault="009475E3" w:rsidP="00561F9B">
      <w:pPr>
        <w:rPr>
          <w:rFonts w:ascii="Palatino Linotype" w:hAnsi="Palatino Linotype" w:cs="Arial"/>
          <w:sz w:val="24"/>
          <w:szCs w:val="24"/>
        </w:rPr>
      </w:pPr>
    </w:p>
    <w:p w14:paraId="7872BF54" w14:textId="2A2CA8BD" w:rsidR="00D75CB9" w:rsidRPr="00946144" w:rsidRDefault="00D75CB9" w:rsidP="00561F9B">
      <w:pPr>
        <w:rPr>
          <w:rFonts w:ascii="Palatino Linotype" w:hAnsi="Palatino Linotype" w:cs="Arial"/>
          <w:sz w:val="24"/>
          <w:szCs w:val="24"/>
        </w:rPr>
      </w:pPr>
      <w:r w:rsidRPr="00946144">
        <w:rPr>
          <w:rFonts w:ascii="Palatino Linotype" w:hAnsi="Palatino Linotype" w:cs="Arial"/>
          <w:sz w:val="24"/>
          <w:szCs w:val="24"/>
        </w:rPr>
        <w:t xml:space="preserve">It is an offence to wilfully conceal, damage or destroy information </w:t>
      </w:r>
      <w:r w:rsidR="009475E3">
        <w:rPr>
          <w:rFonts w:ascii="Palatino Linotype" w:hAnsi="Palatino Linotype" w:cs="Arial"/>
          <w:sz w:val="24"/>
          <w:szCs w:val="24"/>
        </w:rPr>
        <w:t xml:space="preserve">in an attempt </w:t>
      </w:r>
      <w:r w:rsidRPr="00946144">
        <w:rPr>
          <w:rFonts w:ascii="Palatino Linotype" w:hAnsi="Palatino Linotype" w:cs="Arial"/>
          <w:sz w:val="24"/>
          <w:szCs w:val="24"/>
        </w:rPr>
        <w:t xml:space="preserve">to avoid responding to a </w:t>
      </w:r>
      <w:r w:rsidR="009475E3">
        <w:rPr>
          <w:rFonts w:ascii="Palatino Linotype" w:hAnsi="Palatino Linotype" w:cs="Arial"/>
          <w:sz w:val="24"/>
          <w:szCs w:val="24"/>
        </w:rPr>
        <w:t xml:space="preserve">freedom of information </w:t>
      </w:r>
      <w:r w:rsidRPr="00946144">
        <w:rPr>
          <w:rFonts w:ascii="Palatino Linotype" w:hAnsi="Palatino Linotype" w:cs="Arial"/>
          <w:sz w:val="24"/>
          <w:szCs w:val="24"/>
        </w:rPr>
        <w:t>request.</w:t>
      </w:r>
    </w:p>
    <w:p w14:paraId="7872BF55" w14:textId="77777777" w:rsidR="00D75CB9" w:rsidRPr="00946144" w:rsidRDefault="00D75CB9" w:rsidP="00561F9B">
      <w:pPr>
        <w:pStyle w:val="Customisabledocumentheading"/>
        <w:rPr>
          <w:rFonts w:ascii="Palatino Linotype" w:hAnsi="Palatino Linotype" w:cs="Arial"/>
          <w:b w:val="0"/>
          <w:sz w:val="24"/>
          <w:szCs w:val="24"/>
        </w:rPr>
      </w:pPr>
    </w:p>
    <w:p w14:paraId="603E57F4" w14:textId="77777777" w:rsidR="00561F9B" w:rsidRDefault="00561F9B" w:rsidP="00561F9B">
      <w:pPr>
        <w:pStyle w:val="Customisabledocumentheading"/>
        <w:rPr>
          <w:rFonts w:ascii="Palatino Linotype" w:hAnsi="Palatino Linotype" w:cs="Arial"/>
          <w:sz w:val="28"/>
          <w:szCs w:val="24"/>
        </w:rPr>
      </w:pPr>
    </w:p>
    <w:p w14:paraId="52C10E3F" w14:textId="77777777" w:rsidR="00561F9B" w:rsidRDefault="00561F9B" w:rsidP="00561F9B">
      <w:pPr>
        <w:pStyle w:val="Customisabledocumentheading"/>
        <w:rPr>
          <w:rFonts w:ascii="Palatino Linotype" w:hAnsi="Palatino Linotype" w:cs="Arial"/>
          <w:sz w:val="28"/>
          <w:szCs w:val="24"/>
        </w:rPr>
      </w:pPr>
    </w:p>
    <w:p w14:paraId="7872BF56" w14:textId="77777777" w:rsidR="00D75CB9" w:rsidRPr="00565705" w:rsidRDefault="00D75CB9" w:rsidP="00561F9B">
      <w:pPr>
        <w:pStyle w:val="Customisabledocumentheading"/>
        <w:rPr>
          <w:rFonts w:ascii="Palatino Linotype" w:hAnsi="Palatino Linotype" w:cs="Arial"/>
          <w:sz w:val="28"/>
          <w:szCs w:val="24"/>
        </w:rPr>
      </w:pPr>
      <w:r w:rsidRPr="00565705">
        <w:rPr>
          <w:rFonts w:ascii="Palatino Linotype" w:hAnsi="Palatino Linotype" w:cs="Arial"/>
          <w:sz w:val="28"/>
          <w:szCs w:val="24"/>
        </w:rPr>
        <w:lastRenderedPageBreak/>
        <w:t>Responsibilities</w:t>
      </w:r>
    </w:p>
    <w:p w14:paraId="42752B0A" w14:textId="731736C7" w:rsidR="009475E3" w:rsidRDefault="009475E3" w:rsidP="00561F9B">
      <w:pPr>
        <w:rPr>
          <w:rFonts w:ascii="Palatino Linotype" w:hAnsi="Palatino Linotype" w:cs="Arial"/>
          <w:sz w:val="24"/>
          <w:szCs w:val="24"/>
        </w:rPr>
      </w:pPr>
      <w:r>
        <w:rPr>
          <w:rFonts w:ascii="Palatino Linotype" w:hAnsi="Palatino Linotype"/>
          <w:sz w:val="24"/>
          <w:szCs w:val="24"/>
        </w:rPr>
        <w:t>T</w:t>
      </w:r>
      <w:r>
        <w:rPr>
          <w:rFonts w:ascii="Palatino Linotype" w:hAnsi="Palatino Linotype" w:cs="Arial"/>
          <w:sz w:val="24"/>
          <w:szCs w:val="24"/>
        </w:rPr>
        <w:t xml:space="preserve">he Company operates a process that provides for efficient responses to FOIA requests. Requests are to be met within 20 working days. </w:t>
      </w:r>
    </w:p>
    <w:p w14:paraId="51E7A70C" w14:textId="77777777" w:rsidR="009475E3" w:rsidRDefault="009475E3" w:rsidP="00561F9B">
      <w:pPr>
        <w:rPr>
          <w:rFonts w:ascii="Palatino Linotype" w:hAnsi="Palatino Linotype" w:cs="Arial"/>
          <w:sz w:val="24"/>
          <w:szCs w:val="24"/>
        </w:rPr>
      </w:pPr>
    </w:p>
    <w:p w14:paraId="52C35C41" w14:textId="5A0A8CBC" w:rsidR="009475E3" w:rsidRDefault="009475E3" w:rsidP="00561F9B">
      <w:pPr>
        <w:rPr>
          <w:rFonts w:ascii="Palatino Linotype" w:hAnsi="Palatino Linotype" w:cs="Arial"/>
          <w:sz w:val="24"/>
          <w:szCs w:val="24"/>
        </w:rPr>
      </w:pPr>
      <w:r>
        <w:rPr>
          <w:rFonts w:ascii="Palatino Linotype" w:hAnsi="Palatino Linotype" w:cs="Arial"/>
          <w:sz w:val="24"/>
          <w:szCs w:val="24"/>
        </w:rPr>
        <w:t xml:space="preserve">This requires a </w:t>
      </w:r>
      <w:r w:rsidRPr="00084E10">
        <w:rPr>
          <w:rFonts w:ascii="Palatino Linotype" w:hAnsi="Palatino Linotype" w:cs="Arial"/>
          <w:sz w:val="24"/>
          <w:szCs w:val="24"/>
        </w:rPr>
        <w:t xml:space="preserve">well-managed records systems </w:t>
      </w:r>
      <w:r>
        <w:rPr>
          <w:rFonts w:ascii="Palatino Linotype" w:hAnsi="Palatino Linotype" w:cs="Arial"/>
          <w:sz w:val="24"/>
          <w:szCs w:val="24"/>
        </w:rPr>
        <w:t xml:space="preserve">and this is managed by </w:t>
      </w:r>
      <w:r w:rsidRPr="009475E3">
        <w:rPr>
          <w:rFonts w:ascii="Palatino Linotype" w:hAnsi="Palatino Linotype" w:cs="Arial"/>
          <w:i/>
          <w:sz w:val="24"/>
          <w:szCs w:val="24"/>
        </w:rPr>
        <w:t xml:space="preserve">[insert </w:t>
      </w:r>
      <w:r w:rsidR="00561F9B">
        <w:rPr>
          <w:rFonts w:ascii="Palatino Linotype" w:hAnsi="Palatino Linotype" w:cs="Arial"/>
          <w:i/>
          <w:sz w:val="24"/>
          <w:szCs w:val="24"/>
        </w:rPr>
        <w:t>job title</w:t>
      </w:r>
      <w:r w:rsidRPr="009475E3">
        <w:rPr>
          <w:rFonts w:ascii="Palatino Linotype" w:hAnsi="Palatino Linotype" w:cs="Arial"/>
          <w:i/>
          <w:sz w:val="24"/>
          <w:szCs w:val="24"/>
        </w:rPr>
        <w:t>]</w:t>
      </w:r>
      <w:r>
        <w:rPr>
          <w:rFonts w:ascii="Palatino Linotype" w:hAnsi="Palatino Linotype" w:cs="Arial"/>
          <w:sz w:val="24"/>
          <w:szCs w:val="24"/>
        </w:rPr>
        <w:t xml:space="preserve">, who has responsibility for maintaining and operating this policy, the Compliance Manager. </w:t>
      </w:r>
    </w:p>
    <w:p w14:paraId="7F12132F" w14:textId="3730D252" w:rsidR="009475E3" w:rsidRDefault="009475E3" w:rsidP="00561F9B">
      <w:pPr>
        <w:rPr>
          <w:rFonts w:ascii="Palatino Linotype" w:hAnsi="Palatino Linotype" w:cs="Arial"/>
          <w:sz w:val="24"/>
          <w:szCs w:val="24"/>
        </w:rPr>
      </w:pPr>
    </w:p>
    <w:p w14:paraId="1B45958D" w14:textId="77777777" w:rsidR="004B4935" w:rsidRDefault="009475E3" w:rsidP="00561F9B">
      <w:pPr>
        <w:rPr>
          <w:rFonts w:ascii="Palatino Linotype" w:hAnsi="Palatino Linotype" w:cs="Arial"/>
          <w:sz w:val="24"/>
          <w:szCs w:val="24"/>
        </w:rPr>
      </w:pPr>
      <w:r>
        <w:rPr>
          <w:rFonts w:ascii="Palatino Linotype" w:hAnsi="Palatino Linotype" w:cs="Arial"/>
          <w:sz w:val="24"/>
          <w:szCs w:val="24"/>
        </w:rPr>
        <w:t xml:space="preserve">The Compliance Manager is responsible </w:t>
      </w:r>
      <w:r w:rsidR="00D75CB9" w:rsidRPr="00946144">
        <w:rPr>
          <w:rFonts w:ascii="Palatino Linotype" w:hAnsi="Palatino Linotype" w:cs="Arial"/>
          <w:sz w:val="24"/>
          <w:szCs w:val="24"/>
        </w:rPr>
        <w:t xml:space="preserve">for </w:t>
      </w:r>
      <w:r w:rsidR="004B4935">
        <w:rPr>
          <w:rFonts w:ascii="Palatino Linotype" w:hAnsi="Palatino Linotype" w:cs="Arial"/>
          <w:sz w:val="24"/>
          <w:szCs w:val="24"/>
        </w:rPr>
        <w:t xml:space="preserve">ensuring compliance by promoting best practice and ensuring guidance and procedures are understood across the Company through training and access to the policies. </w:t>
      </w:r>
    </w:p>
    <w:p w14:paraId="706CDB9C" w14:textId="77777777" w:rsidR="004B4935" w:rsidRDefault="004B4935" w:rsidP="00561F9B">
      <w:pPr>
        <w:rPr>
          <w:rFonts w:ascii="Palatino Linotype" w:hAnsi="Palatino Linotype" w:cs="Arial"/>
          <w:sz w:val="24"/>
          <w:szCs w:val="24"/>
        </w:rPr>
      </w:pPr>
    </w:p>
    <w:p w14:paraId="7872BF5D" w14:textId="76EDE09F" w:rsidR="00D75CB9" w:rsidRPr="007869BD" w:rsidRDefault="004B4935" w:rsidP="00561F9B">
      <w:pPr>
        <w:pStyle w:val="Customisabledocumentheading"/>
        <w:rPr>
          <w:rFonts w:ascii="Palatino Linotype" w:hAnsi="Palatino Linotype" w:cs="Arial"/>
          <w:sz w:val="28"/>
          <w:szCs w:val="24"/>
        </w:rPr>
      </w:pPr>
      <w:r>
        <w:rPr>
          <w:rFonts w:ascii="Palatino Linotype" w:hAnsi="Palatino Linotype" w:cs="Arial"/>
          <w:sz w:val="28"/>
          <w:szCs w:val="24"/>
        </w:rPr>
        <w:t xml:space="preserve">FOIA Request </w:t>
      </w:r>
      <w:r w:rsidR="00D75CB9" w:rsidRPr="007869BD">
        <w:rPr>
          <w:rFonts w:ascii="Palatino Linotype" w:hAnsi="Palatino Linotype" w:cs="Arial"/>
          <w:sz w:val="28"/>
          <w:szCs w:val="24"/>
        </w:rPr>
        <w:t>Procedure</w:t>
      </w:r>
    </w:p>
    <w:p w14:paraId="0A12AA35" w14:textId="078E2963" w:rsidR="004B4935" w:rsidRDefault="004B4935" w:rsidP="00561F9B">
      <w:pPr>
        <w:rPr>
          <w:rFonts w:ascii="Palatino Linotype" w:hAnsi="Palatino Linotype" w:cs="Arial"/>
          <w:sz w:val="24"/>
          <w:szCs w:val="24"/>
        </w:rPr>
      </w:pPr>
      <w:r>
        <w:rPr>
          <w:rFonts w:ascii="Palatino Linotype" w:hAnsi="Palatino Linotype" w:cs="Arial"/>
          <w:sz w:val="24"/>
          <w:szCs w:val="24"/>
        </w:rPr>
        <w:t>FOIA requests must be referred immediately to the Compliance Manager.</w:t>
      </w:r>
      <w:r w:rsidR="00561F9B">
        <w:rPr>
          <w:rFonts w:ascii="Palatino Linotype" w:hAnsi="Palatino Linotype" w:cs="Arial"/>
          <w:sz w:val="24"/>
          <w:szCs w:val="24"/>
        </w:rPr>
        <w:t xml:space="preserve"> The following process will then apply:</w:t>
      </w:r>
      <w:r>
        <w:rPr>
          <w:rFonts w:ascii="Palatino Linotype" w:hAnsi="Palatino Linotype" w:cs="Arial"/>
          <w:sz w:val="24"/>
          <w:szCs w:val="24"/>
        </w:rPr>
        <w:t xml:space="preserve"> </w:t>
      </w:r>
    </w:p>
    <w:p w14:paraId="768E8EED" w14:textId="5C46352C" w:rsidR="004B4935" w:rsidRDefault="004B4935" w:rsidP="00561F9B">
      <w:pPr>
        <w:rPr>
          <w:rFonts w:ascii="Palatino Linotype" w:hAnsi="Palatino Linotype" w:cs="Arial"/>
          <w:sz w:val="24"/>
          <w:szCs w:val="24"/>
        </w:rPr>
      </w:pPr>
    </w:p>
    <w:p w14:paraId="59AD1069" w14:textId="00C6F8A4" w:rsidR="004B4935" w:rsidRPr="00561F9B"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t</w:t>
      </w:r>
      <w:r w:rsidR="004B4935" w:rsidRPr="009F7901">
        <w:rPr>
          <w:rFonts w:ascii="Palatino Linotype" w:hAnsi="Palatino Linotype" w:cs="Arial"/>
          <w:sz w:val="24"/>
          <w:szCs w:val="24"/>
        </w:rPr>
        <w:t>he Compliance Manager will ent</w:t>
      </w:r>
      <w:r>
        <w:rPr>
          <w:rFonts w:ascii="Palatino Linotype" w:hAnsi="Palatino Linotype" w:cs="Arial"/>
          <w:sz w:val="24"/>
          <w:szCs w:val="24"/>
        </w:rPr>
        <w:t>er the request in the FOIA Log</w:t>
      </w:r>
    </w:p>
    <w:p w14:paraId="2E0F8260" w14:textId="4E657DC5" w:rsidR="004B4935" w:rsidRPr="00561F9B"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t</w:t>
      </w:r>
      <w:r w:rsidR="004B4935" w:rsidRPr="009F7901">
        <w:rPr>
          <w:rFonts w:ascii="Palatino Linotype" w:hAnsi="Palatino Linotype" w:cs="Arial"/>
          <w:sz w:val="24"/>
          <w:szCs w:val="24"/>
        </w:rPr>
        <w:t>he Compliance Manager will determine whether a request is subject to any exemptions. If an exemption applies, the Compliance Manager will write to the person who made the request setting out the reason</w:t>
      </w:r>
      <w:r>
        <w:rPr>
          <w:rFonts w:ascii="Palatino Linotype" w:hAnsi="Palatino Linotype" w:cs="Arial"/>
          <w:sz w:val="24"/>
          <w:szCs w:val="24"/>
        </w:rPr>
        <w:t>s why their request is refused</w:t>
      </w:r>
    </w:p>
    <w:p w14:paraId="011DD234" w14:textId="72577219" w:rsidR="009F7901" w:rsidRPr="00561F9B"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i</w:t>
      </w:r>
      <w:r w:rsidR="004B4935" w:rsidRPr="009F7901">
        <w:rPr>
          <w:rFonts w:ascii="Palatino Linotype" w:hAnsi="Palatino Linotype" w:cs="Arial"/>
          <w:sz w:val="24"/>
          <w:szCs w:val="24"/>
        </w:rPr>
        <w:t xml:space="preserve">f no exemption applies, the Compliance Manager will write to the person who made the request advising of the administration charge of </w:t>
      </w:r>
      <w:r w:rsidR="00946144" w:rsidRPr="009F7901">
        <w:rPr>
          <w:rFonts w:ascii="Palatino Linotype" w:hAnsi="Palatino Linotype" w:cs="Arial"/>
          <w:i/>
          <w:sz w:val="24"/>
          <w:szCs w:val="24"/>
        </w:rPr>
        <w:t>[</w:t>
      </w:r>
      <w:r w:rsidR="00D75CB9" w:rsidRPr="009F7901">
        <w:rPr>
          <w:rFonts w:ascii="Palatino Linotype" w:hAnsi="Palatino Linotype" w:cs="Arial"/>
          <w:i/>
          <w:sz w:val="24"/>
          <w:szCs w:val="24"/>
        </w:rPr>
        <w:t>insert amount</w:t>
      </w:r>
      <w:r w:rsidR="00946144" w:rsidRPr="009F7901">
        <w:rPr>
          <w:rFonts w:ascii="Palatino Linotype" w:hAnsi="Palatino Linotype" w:cs="Arial"/>
          <w:i/>
          <w:sz w:val="24"/>
          <w:szCs w:val="24"/>
        </w:rPr>
        <w:t>]</w:t>
      </w:r>
      <w:r>
        <w:rPr>
          <w:rFonts w:ascii="Palatino Linotype" w:hAnsi="Palatino Linotype" w:cs="Arial"/>
          <w:sz w:val="24"/>
          <w:szCs w:val="24"/>
        </w:rPr>
        <w:t xml:space="preserve"> for releasing the information</w:t>
      </w:r>
    </w:p>
    <w:p w14:paraId="3D452468" w14:textId="33B050A4" w:rsidR="009F7901" w:rsidRDefault="00561F9B" w:rsidP="00561F9B">
      <w:pPr>
        <w:pStyle w:val="ListParagraph"/>
        <w:numPr>
          <w:ilvl w:val="0"/>
          <w:numId w:val="6"/>
        </w:numPr>
        <w:rPr>
          <w:rFonts w:ascii="Palatino Linotype" w:hAnsi="Palatino Linotype" w:cs="Arial"/>
          <w:sz w:val="24"/>
          <w:szCs w:val="24"/>
        </w:rPr>
      </w:pPr>
      <w:r>
        <w:rPr>
          <w:rFonts w:ascii="Palatino Linotype" w:hAnsi="Palatino Linotype" w:cs="Arial"/>
          <w:sz w:val="24"/>
          <w:szCs w:val="24"/>
        </w:rPr>
        <w:t>t</w:t>
      </w:r>
      <w:r w:rsidR="009F7901" w:rsidRPr="009F7901">
        <w:rPr>
          <w:rFonts w:ascii="Palatino Linotype" w:hAnsi="Palatino Linotype" w:cs="Arial"/>
          <w:sz w:val="24"/>
          <w:szCs w:val="24"/>
        </w:rPr>
        <w:t xml:space="preserve">he </w:t>
      </w:r>
      <w:r w:rsidR="00D75CB9" w:rsidRPr="009F7901">
        <w:rPr>
          <w:rFonts w:ascii="Palatino Linotype" w:hAnsi="Palatino Linotype" w:cs="Arial"/>
          <w:sz w:val="24"/>
          <w:szCs w:val="24"/>
        </w:rPr>
        <w:t xml:space="preserve">enquirer </w:t>
      </w:r>
      <w:r w:rsidR="009F7901" w:rsidRPr="009F7901">
        <w:rPr>
          <w:rFonts w:ascii="Palatino Linotype" w:hAnsi="Palatino Linotype" w:cs="Arial"/>
          <w:sz w:val="24"/>
          <w:szCs w:val="24"/>
        </w:rPr>
        <w:t xml:space="preserve">will be </w:t>
      </w:r>
      <w:r w:rsidR="00D75CB9" w:rsidRPr="009F7901">
        <w:rPr>
          <w:rFonts w:ascii="Palatino Linotype" w:hAnsi="Palatino Linotype" w:cs="Arial"/>
          <w:sz w:val="24"/>
          <w:szCs w:val="24"/>
        </w:rPr>
        <w:t xml:space="preserve">sent </w:t>
      </w:r>
      <w:r w:rsidR="009F7901">
        <w:rPr>
          <w:rFonts w:ascii="Palatino Linotype" w:hAnsi="Palatino Linotype" w:cs="Arial"/>
          <w:sz w:val="24"/>
          <w:szCs w:val="24"/>
        </w:rPr>
        <w:t>the FOIA F</w:t>
      </w:r>
      <w:r w:rsidR="00D75CB9" w:rsidRPr="009F7901">
        <w:rPr>
          <w:rFonts w:ascii="Palatino Linotype" w:hAnsi="Palatino Linotype" w:cs="Arial"/>
          <w:sz w:val="24"/>
          <w:szCs w:val="24"/>
        </w:rPr>
        <w:t xml:space="preserve">orm </w:t>
      </w:r>
      <w:r w:rsidR="009F7901" w:rsidRPr="009F7901">
        <w:rPr>
          <w:rFonts w:ascii="Palatino Linotype" w:hAnsi="Palatino Linotype" w:cs="Arial"/>
          <w:sz w:val="24"/>
          <w:szCs w:val="24"/>
        </w:rPr>
        <w:t xml:space="preserve">to complete should they still wish to proceed with the </w:t>
      </w:r>
      <w:r w:rsidR="00D75CB9" w:rsidRPr="009F7901">
        <w:rPr>
          <w:rFonts w:ascii="Palatino Linotype" w:hAnsi="Palatino Linotype" w:cs="Arial"/>
          <w:sz w:val="24"/>
          <w:szCs w:val="24"/>
        </w:rPr>
        <w:t>request</w:t>
      </w:r>
      <w:r w:rsidR="009F7901" w:rsidRPr="009F7901">
        <w:rPr>
          <w:rFonts w:ascii="Palatino Linotype" w:hAnsi="Palatino Linotype" w:cs="Arial"/>
          <w:sz w:val="24"/>
          <w:szCs w:val="24"/>
        </w:rPr>
        <w:t xml:space="preserve">. </w:t>
      </w:r>
    </w:p>
    <w:p w14:paraId="6455174E" w14:textId="77777777" w:rsidR="009F7901" w:rsidRPr="009F7901" w:rsidRDefault="009F7901" w:rsidP="00561F9B">
      <w:pPr>
        <w:pStyle w:val="ListParagraph"/>
        <w:rPr>
          <w:rFonts w:ascii="Palatino Linotype" w:hAnsi="Palatino Linotype" w:cs="Arial"/>
          <w:sz w:val="24"/>
          <w:szCs w:val="24"/>
        </w:rPr>
      </w:pPr>
    </w:p>
    <w:p w14:paraId="7872BF63" w14:textId="220C521F" w:rsidR="00D75CB9" w:rsidRDefault="009F7901" w:rsidP="00561F9B">
      <w:pPr>
        <w:rPr>
          <w:rFonts w:ascii="Palatino Linotype" w:hAnsi="Palatino Linotype" w:cs="Arial"/>
          <w:sz w:val="24"/>
          <w:szCs w:val="24"/>
        </w:rPr>
      </w:pPr>
      <w:r>
        <w:rPr>
          <w:rFonts w:ascii="Palatino Linotype" w:hAnsi="Palatino Linotype" w:cs="Arial"/>
          <w:sz w:val="24"/>
          <w:szCs w:val="24"/>
        </w:rPr>
        <w:t xml:space="preserve">A 20 day time limit commences </w:t>
      </w:r>
      <w:r w:rsidR="00A15F66">
        <w:rPr>
          <w:rFonts w:ascii="Palatino Linotype" w:hAnsi="Palatino Linotype" w:cs="Arial"/>
          <w:sz w:val="24"/>
          <w:szCs w:val="24"/>
        </w:rPr>
        <w:t xml:space="preserve">from </w:t>
      </w:r>
      <w:r>
        <w:rPr>
          <w:rFonts w:ascii="Palatino Linotype" w:hAnsi="Palatino Linotype" w:cs="Arial"/>
          <w:sz w:val="24"/>
          <w:szCs w:val="24"/>
        </w:rPr>
        <w:t xml:space="preserve">when the request is submitted and the information will be identified at that stage, as the FOIA is sent to the enquirer to complete. </w:t>
      </w:r>
      <w:r w:rsidR="00561F9B">
        <w:rPr>
          <w:rFonts w:ascii="Palatino Linotype" w:hAnsi="Palatino Linotype" w:cs="Arial"/>
          <w:sz w:val="24"/>
          <w:szCs w:val="24"/>
        </w:rPr>
        <w:t xml:space="preserve">The following process will then apply: </w:t>
      </w:r>
    </w:p>
    <w:p w14:paraId="7FF3288F" w14:textId="77777777" w:rsidR="009F7901" w:rsidRPr="009F7901" w:rsidRDefault="009F7901" w:rsidP="00561F9B">
      <w:pPr>
        <w:rPr>
          <w:rFonts w:ascii="Palatino Linotype" w:hAnsi="Palatino Linotype" w:cs="Arial"/>
          <w:sz w:val="24"/>
          <w:szCs w:val="24"/>
        </w:rPr>
      </w:pPr>
    </w:p>
    <w:p w14:paraId="6E49B52C" w14:textId="207FA3CC" w:rsidR="009F7901" w:rsidRPr="00561F9B"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i</w:t>
      </w:r>
      <w:r w:rsidR="009F7901">
        <w:rPr>
          <w:rFonts w:ascii="Palatino Linotype" w:hAnsi="Palatino Linotype" w:cs="Arial"/>
          <w:sz w:val="24"/>
          <w:szCs w:val="24"/>
        </w:rPr>
        <w:t xml:space="preserve">f the Company does not hold the information sought, the Compliance Manager will </w:t>
      </w:r>
      <w:r>
        <w:rPr>
          <w:rFonts w:ascii="Palatino Linotype" w:hAnsi="Palatino Linotype" w:cs="Arial"/>
          <w:sz w:val="24"/>
          <w:szCs w:val="24"/>
        </w:rPr>
        <w:t>write to the person to confirm</w:t>
      </w:r>
    </w:p>
    <w:p w14:paraId="19A12207" w14:textId="42B2D7A6" w:rsidR="009F7901" w:rsidRPr="00561F9B"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w</w:t>
      </w:r>
      <w:r w:rsidR="009F7901">
        <w:rPr>
          <w:rFonts w:ascii="Palatino Linotype" w:hAnsi="Palatino Linotype" w:cs="Arial"/>
          <w:sz w:val="24"/>
          <w:szCs w:val="24"/>
        </w:rPr>
        <w:t xml:space="preserve">hen the FOIA Form and payment is received, the requested information will be copies - </w:t>
      </w:r>
      <w:r>
        <w:rPr>
          <w:rFonts w:ascii="Palatino Linotype" w:hAnsi="Palatino Linotype" w:cs="Arial"/>
          <w:sz w:val="24"/>
          <w:szCs w:val="24"/>
        </w:rPr>
        <w:t>originals will not be released</w:t>
      </w:r>
    </w:p>
    <w:p w14:paraId="588905F3" w14:textId="5EFF1B57" w:rsidR="009F7901" w:rsidRPr="00561F9B"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t</w:t>
      </w:r>
      <w:r w:rsidR="009F7901">
        <w:rPr>
          <w:rFonts w:ascii="Palatino Linotype" w:hAnsi="Palatino Linotype" w:cs="Arial"/>
          <w:sz w:val="24"/>
          <w:szCs w:val="24"/>
        </w:rPr>
        <w:t xml:space="preserve">he Compliance Manager will check that all required information is present and check that each document has been redacted to remove any personal information about persons not relevant to the enquiry </w:t>
      </w:r>
    </w:p>
    <w:p w14:paraId="7872BF68" w14:textId="249D13AA" w:rsidR="00D75CB9" w:rsidRDefault="00561F9B" w:rsidP="00561F9B">
      <w:pPr>
        <w:numPr>
          <w:ilvl w:val="0"/>
          <w:numId w:val="7"/>
        </w:numPr>
        <w:rPr>
          <w:rFonts w:ascii="Palatino Linotype" w:hAnsi="Palatino Linotype" w:cs="Arial"/>
          <w:sz w:val="24"/>
          <w:szCs w:val="24"/>
        </w:rPr>
      </w:pPr>
      <w:r>
        <w:rPr>
          <w:rFonts w:ascii="Palatino Linotype" w:hAnsi="Palatino Linotype" w:cs="Arial"/>
          <w:sz w:val="24"/>
          <w:szCs w:val="24"/>
        </w:rPr>
        <w:t>t</w:t>
      </w:r>
      <w:r w:rsidR="009F7901">
        <w:rPr>
          <w:rFonts w:ascii="Palatino Linotype" w:hAnsi="Palatino Linotype" w:cs="Arial"/>
          <w:sz w:val="24"/>
          <w:szCs w:val="24"/>
        </w:rPr>
        <w:t>he Compliance Manager will identify any third parties involves or affected by the disclosure and consult with them prior to any release of information</w:t>
      </w:r>
      <w:r>
        <w:rPr>
          <w:rFonts w:ascii="Palatino Linotype" w:hAnsi="Palatino Linotype" w:cs="Arial"/>
          <w:sz w:val="24"/>
          <w:szCs w:val="24"/>
        </w:rPr>
        <w:t>.</w:t>
      </w:r>
      <w:r w:rsidR="009F7901">
        <w:rPr>
          <w:rFonts w:ascii="Palatino Linotype" w:hAnsi="Palatino Linotype" w:cs="Arial"/>
          <w:sz w:val="24"/>
          <w:szCs w:val="24"/>
        </w:rPr>
        <w:t xml:space="preserve"> </w:t>
      </w:r>
    </w:p>
    <w:p w14:paraId="72A6A925" w14:textId="468A7494" w:rsidR="00A15F66" w:rsidRDefault="00A15F66" w:rsidP="00561F9B">
      <w:pPr>
        <w:rPr>
          <w:rFonts w:ascii="Palatino Linotype" w:hAnsi="Palatino Linotype" w:cs="Arial"/>
          <w:sz w:val="24"/>
          <w:szCs w:val="24"/>
        </w:rPr>
      </w:pPr>
    </w:p>
    <w:p w14:paraId="48A7216A" w14:textId="10C60D54" w:rsidR="00A15F66" w:rsidRDefault="00A15F66" w:rsidP="00561F9B">
      <w:pPr>
        <w:rPr>
          <w:rFonts w:ascii="Palatino Linotype" w:hAnsi="Palatino Linotype" w:cs="Arial"/>
          <w:sz w:val="24"/>
          <w:szCs w:val="24"/>
        </w:rPr>
      </w:pPr>
      <w:r>
        <w:rPr>
          <w:rFonts w:ascii="Palatino Linotype" w:hAnsi="Palatino Linotype" w:cs="Arial"/>
          <w:sz w:val="24"/>
          <w:szCs w:val="24"/>
        </w:rPr>
        <w:t xml:space="preserve">After the 20 day time limit has been reached, if the FOIA Form and fee have not been received then the Compliance Manager will write to the enquirer pointing out that the information is ready to release but the FOIA Form and fee have not yet been received. </w:t>
      </w:r>
    </w:p>
    <w:p w14:paraId="60152586" w14:textId="77777777" w:rsidR="00A15F66" w:rsidRPr="00A15F66" w:rsidRDefault="00A15F66" w:rsidP="00561F9B">
      <w:pPr>
        <w:rPr>
          <w:rFonts w:ascii="Palatino Linotype" w:hAnsi="Palatino Linotype" w:cs="Arial"/>
          <w:sz w:val="24"/>
          <w:szCs w:val="24"/>
        </w:rPr>
      </w:pPr>
    </w:p>
    <w:p w14:paraId="7872BF69" w14:textId="2A619EF2" w:rsidR="00D75CB9" w:rsidRPr="00946144" w:rsidRDefault="00A15F66" w:rsidP="00561F9B">
      <w:pPr>
        <w:rPr>
          <w:rFonts w:ascii="Palatino Linotype" w:hAnsi="Palatino Linotype" w:cs="Arial"/>
          <w:sz w:val="24"/>
          <w:szCs w:val="24"/>
        </w:rPr>
      </w:pPr>
      <w:r>
        <w:rPr>
          <w:rFonts w:ascii="Palatino Linotype" w:hAnsi="Palatino Linotype" w:cs="Arial"/>
          <w:sz w:val="24"/>
          <w:szCs w:val="24"/>
        </w:rPr>
        <w:t xml:space="preserve">Provided the FOIA Form and fee are received, the Compliance Manager will release the information to the enquirer </w:t>
      </w:r>
    </w:p>
    <w:p w14:paraId="7872BF6A" w14:textId="77777777" w:rsidR="00D75CB9" w:rsidRPr="00946144" w:rsidRDefault="00D75CB9" w:rsidP="00561F9B">
      <w:pPr>
        <w:rPr>
          <w:rFonts w:ascii="Palatino Linotype" w:hAnsi="Palatino Linotype" w:cs="Arial"/>
          <w:sz w:val="24"/>
          <w:szCs w:val="24"/>
        </w:rPr>
      </w:pPr>
    </w:p>
    <w:p w14:paraId="7872BF6B" w14:textId="720C8C06" w:rsidR="00D75CB9" w:rsidRPr="00AD2355" w:rsidRDefault="00A15F66" w:rsidP="00561F9B">
      <w:pPr>
        <w:rPr>
          <w:rFonts w:ascii="Palatino Linotype" w:hAnsi="Palatino Linotype" w:cs="Arial"/>
          <w:b/>
          <w:sz w:val="28"/>
          <w:szCs w:val="24"/>
        </w:rPr>
      </w:pPr>
      <w:r>
        <w:rPr>
          <w:rFonts w:ascii="Palatino Linotype" w:hAnsi="Palatino Linotype" w:cs="Arial"/>
          <w:b/>
          <w:sz w:val="28"/>
          <w:szCs w:val="24"/>
        </w:rPr>
        <w:t xml:space="preserve">FOIA </w:t>
      </w:r>
      <w:r w:rsidR="00AD2355" w:rsidRPr="00AD2355">
        <w:rPr>
          <w:rFonts w:ascii="Palatino Linotype" w:hAnsi="Palatino Linotype" w:cs="Arial"/>
          <w:b/>
          <w:sz w:val="28"/>
          <w:szCs w:val="24"/>
        </w:rPr>
        <w:t>Exemptions</w:t>
      </w:r>
    </w:p>
    <w:p w14:paraId="5E050573" w14:textId="77777777" w:rsidR="002969EE" w:rsidRDefault="00A15F66" w:rsidP="00561F9B">
      <w:pPr>
        <w:rPr>
          <w:rFonts w:ascii="Palatino Linotype" w:hAnsi="Palatino Linotype"/>
          <w:sz w:val="24"/>
          <w:szCs w:val="24"/>
        </w:rPr>
      </w:pPr>
      <w:r>
        <w:rPr>
          <w:rFonts w:ascii="Palatino Linotype" w:hAnsi="Palatino Linotype"/>
          <w:sz w:val="24"/>
          <w:szCs w:val="24"/>
        </w:rPr>
        <w:t xml:space="preserve">The FOIA contains a number of exemptions. </w:t>
      </w:r>
    </w:p>
    <w:p w14:paraId="2FC63692" w14:textId="77777777" w:rsidR="002969EE" w:rsidRDefault="002969EE" w:rsidP="00561F9B">
      <w:pPr>
        <w:rPr>
          <w:rFonts w:ascii="Palatino Linotype" w:hAnsi="Palatino Linotype"/>
          <w:sz w:val="24"/>
          <w:szCs w:val="24"/>
        </w:rPr>
      </w:pPr>
    </w:p>
    <w:p w14:paraId="4268ACCC" w14:textId="5CF8C2EF" w:rsidR="002969EE" w:rsidRDefault="002969EE" w:rsidP="00561F9B">
      <w:pPr>
        <w:rPr>
          <w:rFonts w:ascii="Palatino Linotype" w:hAnsi="Palatino Linotype"/>
          <w:sz w:val="24"/>
          <w:szCs w:val="24"/>
        </w:rPr>
      </w:pPr>
      <w:r>
        <w:rPr>
          <w:rFonts w:ascii="Palatino Linotype" w:hAnsi="Palatino Linotype"/>
          <w:sz w:val="24"/>
          <w:szCs w:val="24"/>
        </w:rPr>
        <w:t>Some of these e</w:t>
      </w:r>
      <w:r w:rsidR="00561F9B">
        <w:rPr>
          <w:rFonts w:ascii="Palatino Linotype" w:hAnsi="Palatino Linotype"/>
          <w:sz w:val="24"/>
          <w:szCs w:val="24"/>
        </w:rPr>
        <w:t>xe</w:t>
      </w:r>
      <w:r>
        <w:rPr>
          <w:rFonts w:ascii="Palatino Linotype" w:hAnsi="Palatino Linotype"/>
          <w:sz w:val="24"/>
          <w:szCs w:val="24"/>
        </w:rPr>
        <w:t xml:space="preserve">mptions require a </w:t>
      </w:r>
      <w:r w:rsidR="00D75CB9" w:rsidRPr="00946144">
        <w:rPr>
          <w:rFonts w:ascii="Palatino Linotype" w:hAnsi="Palatino Linotype"/>
          <w:sz w:val="24"/>
          <w:szCs w:val="24"/>
        </w:rPr>
        <w:t>public interest test</w:t>
      </w:r>
      <w:r w:rsidR="00561F9B">
        <w:rPr>
          <w:rFonts w:ascii="Palatino Linotype" w:hAnsi="Palatino Linotype"/>
          <w:sz w:val="24"/>
          <w:szCs w:val="24"/>
        </w:rPr>
        <w:t xml:space="preserve"> and s</w:t>
      </w:r>
      <w:r>
        <w:rPr>
          <w:rFonts w:ascii="Palatino Linotype" w:hAnsi="Palatino Linotype"/>
          <w:sz w:val="24"/>
          <w:szCs w:val="24"/>
        </w:rPr>
        <w:t>ome are ‘absolute’ exemptions. The ‘public interest test’ does not need to be done if any of the absolute exemption applies.</w:t>
      </w:r>
    </w:p>
    <w:p w14:paraId="0A0BE6C0" w14:textId="05A01996" w:rsidR="00E13FC4" w:rsidRDefault="00E13FC4" w:rsidP="00561F9B">
      <w:pPr>
        <w:rPr>
          <w:rFonts w:ascii="Palatino Linotype" w:hAnsi="Palatino Linotype"/>
          <w:sz w:val="24"/>
          <w:szCs w:val="24"/>
        </w:rPr>
      </w:pPr>
    </w:p>
    <w:p w14:paraId="6A024E0E" w14:textId="4F489203" w:rsidR="00E13FC4" w:rsidRDefault="00E13FC4" w:rsidP="00561F9B">
      <w:pPr>
        <w:rPr>
          <w:rFonts w:ascii="Palatino Linotype" w:hAnsi="Palatino Linotype"/>
          <w:sz w:val="24"/>
          <w:szCs w:val="24"/>
        </w:rPr>
      </w:pPr>
      <w:r>
        <w:rPr>
          <w:rFonts w:ascii="Palatino Linotype" w:hAnsi="Palatino Linotype"/>
          <w:sz w:val="24"/>
          <w:szCs w:val="24"/>
        </w:rPr>
        <w:t xml:space="preserve">The Company will consider any </w:t>
      </w:r>
      <w:r w:rsidRPr="00E13FC4">
        <w:rPr>
          <w:rFonts w:ascii="Palatino Linotype" w:hAnsi="Palatino Linotype"/>
          <w:sz w:val="24"/>
          <w:szCs w:val="24"/>
        </w:rPr>
        <w:t xml:space="preserve">public interest arguments before deciding whether to disclose information. </w:t>
      </w:r>
      <w:r>
        <w:rPr>
          <w:rFonts w:ascii="Palatino Linotype" w:hAnsi="Palatino Linotype"/>
          <w:sz w:val="24"/>
          <w:szCs w:val="24"/>
        </w:rPr>
        <w:t xml:space="preserve">It may be that the Company is required to </w:t>
      </w:r>
      <w:r w:rsidRPr="00E13FC4">
        <w:rPr>
          <w:rFonts w:ascii="Palatino Linotype" w:hAnsi="Palatino Linotype"/>
          <w:sz w:val="24"/>
          <w:szCs w:val="24"/>
        </w:rPr>
        <w:t>disclose information in spite of an exemption, where it is in the public interest to do so.</w:t>
      </w:r>
    </w:p>
    <w:p w14:paraId="2D5A0C0D" w14:textId="77777777" w:rsidR="002969EE" w:rsidRDefault="002969EE" w:rsidP="00561F9B">
      <w:pPr>
        <w:rPr>
          <w:rFonts w:ascii="Palatino Linotype" w:hAnsi="Palatino Linotype"/>
          <w:sz w:val="24"/>
          <w:szCs w:val="24"/>
        </w:rPr>
      </w:pPr>
    </w:p>
    <w:p w14:paraId="5432A86B" w14:textId="3CCD70B3" w:rsidR="002969EE" w:rsidRPr="002969EE" w:rsidRDefault="002969EE" w:rsidP="00561F9B">
      <w:pPr>
        <w:rPr>
          <w:rFonts w:ascii="Palatino Linotype" w:hAnsi="Palatino Linotype"/>
          <w:b/>
          <w:sz w:val="24"/>
          <w:szCs w:val="24"/>
        </w:rPr>
      </w:pPr>
      <w:r w:rsidRPr="002969EE">
        <w:rPr>
          <w:rFonts w:ascii="Palatino Linotype" w:hAnsi="Palatino Linotype"/>
          <w:b/>
          <w:sz w:val="24"/>
          <w:szCs w:val="24"/>
        </w:rPr>
        <w:t>Absolute Exemptions</w:t>
      </w:r>
    </w:p>
    <w:p w14:paraId="384F843D" w14:textId="0C85BDEA"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s21</w:t>
      </w:r>
      <w:r w:rsidR="002969EE">
        <w:rPr>
          <w:rFonts w:ascii="Palatino Linotype" w:hAnsi="Palatino Linotype"/>
          <w:sz w:val="24"/>
          <w:szCs w:val="24"/>
        </w:rPr>
        <w:tab/>
      </w:r>
      <w:r w:rsidRPr="00946144">
        <w:rPr>
          <w:rFonts w:ascii="Palatino Linotype" w:hAnsi="Palatino Linotype"/>
          <w:sz w:val="24"/>
          <w:szCs w:val="24"/>
        </w:rPr>
        <w:t>Information accessib</w:t>
      </w:r>
      <w:r w:rsidR="002969EE">
        <w:rPr>
          <w:rFonts w:ascii="Palatino Linotype" w:hAnsi="Palatino Linotype"/>
          <w:sz w:val="24"/>
          <w:szCs w:val="24"/>
        </w:rPr>
        <w:t>le to applicants by other means</w:t>
      </w:r>
    </w:p>
    <w:p w14:paraId="73A8B167" w14:textId="285271C1"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s23</w:t>
      </w:r>
      <w:r w:rsidR="002969EE">
        <w:rPr>
          <w:rFonts w:ascii="Palatino Linotype" w:hAnsi="Palatino Linotype"/>
          <w:sz w:val="24"/>
          <w:szCs w:val="24"/>
        </w:rPr>
        <w:tab/>
      </w:r>
      <w:r w:rsidRPr="00946144">
        <w:rPr>
          <w:rFonts w:ascii="Palatino Linotype" w:hAnsi="Palatino Linotype"/>
          <w:sz w:val="24"/>
          <w:szCs w:val="24"/>
        </w:rPr>
        <w:t>Information supplied by, or relating to</w:t>
      </w:r>
      <w:r w:rsidR="002969EE">
        <w:rPr>
          <w:rFonts w:ascii="Palatino Linotype" w:hAnsi="Palatino Linotype"/>
          <w:sz w:val="24"/>
          <w:szCs w:val="24"/>
        </w:rPr>
        <w:t>, bodies dealing with security</w:t>
      </w:r>
    </w:p>
    <w:p w14:paraId="521058F4" w14:textId="7E3D2BEC"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s32</w:t>
      </w:r>
      <w:r w:rsidR="002969EE">
        <w:rPr>
          <w:rFonts w:ascii="Palatino Linotype" w:hAnsi="Palatino Linotype"/>
          <w:sz w:val="24"/>
          <w:szCs w:val="24"/>
        </w:rPr>
        <w:tab/>
        <w:t>Court records, etc</w:t>
      </w:r>
    </w:p>
    <w:p w14:paraId="60B511B6" w14:textId="025F7715"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s34</w:t>
      </w:r>
      <w:r w:rsidR="002969EE">
        <w:rPr>
          <w:rFonts w:ascii="Palatino Linotype" w:hAnsi="Palatino Linotype"/>
          <w:sz w:val="24"/>
          <w:szCs w:val="24"/>
        </w:rPr>
        <w:tab/>
        <w:t xml:space="preserve">Parliamentary </w:t>
      </w:r>
    </w:p>
    <w:p w14:paraId="5F295EB6" w14:textId="682360A6"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s36</w:t>
      </w:r>
      <w:r w:rsidR="002969EE">
        <w:rPr>
          <w:rFonts w:ascii="Palatino Linotype" w:hAnsi="Palatino Linotype"/>
          <w:sz w:val="24"/>
          <w:szCs w:val="24"/>
        </w:rPr>
        <w:tab/>
      </w:r>
      <w:r w:rsidRPr="00946144">
        <w:rPr>
          <w:rFonts w:ascii="Palatino Linotype" w:hAnsi="Palatino Linotype"/>
          <w:sz w:val="24"/>
          <w:szCs w:val="24"/>
        </w:rPr>
        <w:t>Prejudice to effective conduct of public affairs (only applies to information held by the House of Commons or the House of Lords)</w:t>
      </w:r>
    </w:p>
    <w:p w14:paraId="085DCFF8" w14:textId="15C6AF90"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s40</w:t>
      </w:r>
      <w:r w:rsidR="002969EE">
        <w:rPr>
          <w:rFonts w:ascii="Palatino Linotype" w:hAnsi="Palatino Linotype"/>
          <w:sz w:val="24"/>
          <w:szCs w:val="24"/>
        </w:rPr>
        <w:tab/>
      </w:r>
      <w:r w:rsidRPr="00946144">
        <w:rPr>
          <w:rFonts w:ascii="Palatino Linotype" w:hAnsi="Palatino Linotype"/>
          <w:sz w:val="24"/>
          <w:szCs w:val="24"/>
        </w:rPr>
        <w:t xml:space="preserve">Personal information (where the applicant is </w:t>
      </w:r>
      <w:r w:rsidR="002969EE">
        <w:rPr>
          <w:rFonts w:ascii="Palatino Linotype" w:hAnsi="Palatino Linotype"/>
          <w:sz w:val="24"/>
          <w:szCs w:val="24"/>
        </w:rPr>
        <w:t>the subject of the information)</w:t>
      </w:r>
    </w:p>
    <w:p w14:paraId="0E7DCB0C" w14:textId="651397CC" w:rsidR="002969EE"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s41</w:t>
      </w:r>
      <w:r w:rsidR="002969EE">
        <w:rPr>
          <w:rFonts w:ascii="Palatino Linotype" w:hAnsi="Palatino Linotype"/>
          <w:sz w:val="24"/>
          <w:szCs w:val="24"/>
        </w:rPr>
        <w:tab/>
      </w:r>
      <w:r w:rsidRPr="00946144">
        <w:rPr>
          <w:rFonts w:ascii="Palatino Linotype" w:hAnsi="Palatino Linotype"/>
          <w:sz w:val="24"/>
          <w:szCs w:val="24"/>
        </w:rPr>
        <w:t>Inf</w:t>
      </w:r>
      <w:r w:rsidR="002969EE">
        <w:rPr>
          <w:rFonts w:ascii="Palatino Linotype" w:hAnsi="Palatino Linotype"/>
          <w:sz w:val="24"/>
          <w:szCs w:val="24"/>
        </w:rPr>
        <w:t>ormation provided in confidence</w:t>
      </w:r>
    </w:p>
    <w:p w14:paraId="7872BF6E" w14:textId="690EB16E" w:rsidR="00D75CB9" w:rsidRPr="00946144" w:rsidRDefault="00D75CB9" w:rsidP="00561F9B">
      <w:pPr>
        <w:tabs>
          <w:tab w:val="left" w:pos="709"/>
        </w:tabs>
        <w:ind w:left="709" w:hanging="709"/>
        <w:rPr>
          <w:rFonts w:ascii="Palatino Linotype" w:hAnsi="Palatino Linotype"/>
          <w:sz w:val="24"/>
          <w:szCs w:val="24"/>
        </w:rPr>
      </w:pPr>
      <w:r w:rsidRPr="00946144">
        <w:rPr>
          <w:rFonts w:ascii="Palatino Linotype" w:hAnsi="Palatino Linotype"/>
          <w:sz w:val="24"/>
          <w:szCs w:val="24"/>
        </w:rPr>
        <w:t>s44</w:t>
      </w:r>
      <w:r w:rsidR="002969EE">
        <w:rPr>
          <w:rFonts w:ascii="Palatino Linotype" w:hAnsi="Palatino Linotype"/>
          <w:sz w:val="24"/>
          <w:szCs w:val="24"/>
        </w:rPr>
        <w:tab/>
      </w:r>
      <w:r w:rsidRPr="00946144">
        <w:rPr>
          <w:rFonts w:ascii="Palatino Linotype" w:hAnsi="Palatino Linotype"/>
          <w:sz w:val="24"/>
          <w:szCs w:val="24"/>
        </w:rPr>
        <w:t xml:space="preserve">Prohibitions on disclosure where a disclosure is prohibited by an enactment or would constitute contempt of court </w:t>
      </w:r>
    </w:p>
    <w:p w14:paraId="3688BC59" w14:textId="08D6EA6B" w:rsidR="002969EE" w:rsidRDefault="002969EE" w:rsidP="00561F9B">
      <w:pPr>
        <w:rPr>
          <w:rFonts w:ascii="Palatino Linotype" w:hAnsi="Palatino Linotype"/>
          <w:sz w:val="24"/>
          <w:szCs w:val="24"/>
        </w:rPr>
      </w:pPr>
    </w:p>
    <w:p w14:paraId="37EBB9DA" w14:textId="6E5B93B3" w:rsidR="002969EE" w:rsidRPr="00E13FC4" w:rsidRDefault="002969EE" w:rsidP="00561F9B">
      <w:pPr>
        <w:rPr>
          <w:rFonts w:ascii="Palatino Linotype" w:hAnsi="Palatino Linotype"/>
          <w:b/>
          <w:sz w:val="24"/>
          <w:szCs w:val="24"/>
        </w:rPr>
      </w:pPr>
      <w:r w:rsidRPr="00E13FC4">
        <w:rPr>
          <w:rFonts w:ascii="Palatino Linotype" w:hAnsi="Palatino Linotype"/>
          <w:b/>
          <w:sz w:val="24"/>
          <w:szCs w:val="24"/>
        </w:rPr>
        <w:t xml:space="preserve">Exemptions where the public interest test applies </w:t>
      </w:r>
    </w:p>
    <w:p w14:paraId="2E5494F9" w14:textId="411A5BA7"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s22</w:t>
      </w:r>
      <w:r w:rsidR="00E13FC4">
        <w:rPr>
          <w:rFonts w:ascii="Palatino Linotype" w:hAnsi="Palatino Linotype"/>
          <w:sz w:val="24"/>
          <w:szCs w:val="24"/>
        </w:rPr>
        <w:tab/>
      </w:r>
      <w:r w:rsidRPr="00946144">
        <w:rPr>
          <w:rFonts w:ascii="Palatino Linotype" w:hAnsi="Palatino Linotype"/>
          <w:sz w:val="24"/>
          <w:szCs w:val="24"/>
        </w:rPr>
        <w:t>Information intended for future publication</w:t>
      </w:r>
    </w:p>
    <w:p w14:paraId="206EF268" w14:textId="09D3DDF1"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s24</w:t>
      </w:r>
      <w:r w:rsidR="00E13FC4">
        <w:rPr>
          <w:rFonts w:ascii="Palatino Linotype" w:hAnsi="Palatino Linotype"/>
          <w:sz w:val="24"/>
          <w:szCs w:val="24"/>
        </w:rPr>
        <w:tab/>
      </w:r>
      <w:r w:rsidRPr="00946144">
        <w:rPr>
          <w:rFonts w:ascii="Palatino Linotype" w:hAnsi="Palatino Linotype"/>
          <w:sz w:val="24"/>
          <w:szCs w:val="24"/>
        </w:rPr>
        <w:t>National security</w:t>
      </w:r>
    </w:p>
    <w:p w14:paraId="2FE4EF7A" w14:textId="08239397"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s26</w:t>
      </w:r>
      <w:r w:rsidR="00E13FC4">
        <w:rPr>
          <w:rFonts w:ascii="Palatino Linotype" w:hAnsi="Palatino Linotype"/>
          <w:sz w:val="24"/>
          <w:szCs w:val="24"/>
        </w:rPr>
        <w:tab/>
      </w:r>
      <w:r w:rsidRPr="00946144">
        <w:rPr>
          <w:rFonts w:ascii="Palatino Linotype" w:hAnsi="Palatino Linotype"/>
          <w:sz w:val="24"/>
          <w:szCs w:val="24"/>
        </w:rPr>
        <w:t>Defence</w:t>
      </w:r>
    </w:p>
    <w:p w14:paraId="0AD322DA" w14:textId="4521F23A"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s27</w:t>
      </w:r>
      <w:r w:rsidR="00E13FC4">
        <w:rPr>
          <w:rFonts w:ascii="Palatino Linotype" w:hAnsi="Palatino Linotype"/>
          <w:sz w:val="24"/>
          <w:szCs w:val="24"/>
        </w:rPr>
        <w:tab/>
      </w:r>
      <w:r w:rsidRPr="00946144">
        <w:rPr>
          <w:rFonts w:ascii="Palatino Linotype" w:hAnsi="Palatino Linotype"/>
          <w:sz w:val="24"/>
          <w:szCs w:val="24"/>
        </w:rPr>
        <w:t>International relations</w:t>
      </w:r>
    </w:p>
    <w:p w14:paraId="627A8DC6" w14:textId="487D304F"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s28</w:t>
      </w:r>
      <w:r w:rsidR="00E13FC4">
        <w:rPr>
          <w:rFonts w:ascii="Palatino Linotype" w:hAnsi="Palatino Linotype"/>
          <w:sz w:val="24"/>
          <w:szCs w:val="24"/>
        </w:rPr>
        <w:tab/>
      </w:r>
      <w:r w:rsidRPr="00946144">
        <w:rPr>
          <w:rFonts w:ascii="Palatino Linotype" w:hAnsi="Palatino Linotype"/>
          <w:sz w:val="24"/>
          <w:szCs w:val="24"/>
        </w:rPr>
        <w:t>Relations within the United Kingdom</w:t>
      </w:r>
    </w:p>
    <w:p w14:paraId="1F1D56CF" w14:textId="4FC13F8C"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s29</w:t>
      </w:r>
      <w:r w:rsidR="00E13FC4">
        <w:rPr>
          <w:rFonts w:ascii="Palatino Linotype" w:hAnsi="Palatino Linotype"/>
          <w:sz w:val="24"/>
          <w:szCs w:val="24"/>
        </w:rPr>
        <w:tab/>
      </w:r>
      <w:r w:rsidRPr="00946144">
        <w:rPr>
          <w:rFonts w:ascii="Palatino Linotype" w:hAnsi="Palatino Linotype"/>
          <w:sz w:val="24"/>
          <w:szCs w:val="24"/>
        </w:rPr>
        <w:t>The economy</w:t>
      </w:r>
    </w:p>
    <w:p w14:paraId="59E9DFE9" w14:textId="499C6BD8"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s30</w:t>
      </w:r>
      <w:r w:rsidR="00E13FC4">
        <w:rPr>
          <w:rFonts w:ascii="Palatino Linotype" w:hAnsi="Palatino Linotype"/>
          <w:sz w:val="24"/>
          <w:szCs w:val="24"/>
        </w:rPr>
        <w:tab/>
      </w:r>
      <w:r w:rsidRPr="00946144">
        <w:rPr>
          <w:rFonts w:ascii="Palatino Linotype" w:hAnsi="Palatino Linotype"/>
          <w:sz w:val="24"/>
          <w:szCs w:val="24"/>
        </w:rPr>
        <w:t>Investigations and proceedings conducted by public authorities</w:t>
      </w:r>
    </w:p>
    <w:p w14:paraId="1DF43935" w14:textId="6D09C9CE"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lastRenderedPageBreak/>
        <w:t>s31</w:t>
      </w:r>
      <w:r w:rsidR="00E13FC4">
        <w:rPr>
          <w:rFonts w:ascii="Palatino Linotype" w:hAnsi="Palatino Linotype"/>
          <w:sz w:val="24"/>
          <w:szCs w:val="24"/>
        </w:rPr>
        <w:tab/>
      </w:r>
      <w:r w:rsidRPr="00946144">
        <w:rPr>
          <w:rFonts w:ascii="Palatino Linotype" w:hAnsi="Palatino Linotype"/>
          <w:sz w:val="24"/>
          <w:szCs w:val="24"/>
        </w:rPr>
        <w:t>Law enforcement</w:t>
      </w:r>
    </w:p>
    <w:p w14:paraId="691F7282" w14:textId="06712677"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s33</w:t>
      </w:r>
      <w:r w:rsidR="00E13FC4">
        <w:rPr>
          <w:rFonts w:ascii="Palatino Linotype" w:hAnsi="Palatino Linotype"/>
          <w:sz w:val="24"/>
          <w:szCs w:val="24"/>
        </w:rPr>
        <w:tab/>
      </w:r>
      <w:r w:rsidRPr="00946144">
        <w:rPr>
          <w:rFonts w:ascii="Palatino Linotype" w:hAnsi="Palatino Linotype"/>
          <w:sz w:val="24"/>
          <w:szCs w:val="24"/>
        </w:rPr>
        <w:t>Audit functions</w:t>
      </w:r>
    </w:p>
    <w:p w14:paraId="387E9752" w14:textId="2F01B158"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s35</w:t>
      </w:r>
      <w:r w:rsidR="00E13FC4">
        <w:rPr>
          <w:rFonts w:ascii="Palatino Linotype" w:hAnsi="Palatino Linotype"/>
          <w:sz w:val="24"/>
          <w:szCs w:val="24"/>
        </w:rPr>
        <w:tab/>
      </w:r>
      <w:r w:rsidRPr="00946144">
        <w:rPr>
          <w:rFonts w:ascii="Palatino Linotype" w:hAnsi="Palatino Linotype"/>
          <w:sz w:val="24"/>
          <w:szCs w:val="24"/>
        </w:rPr>
        <w:t>Formulation of government policy, etc.</w:t>
      </w:r>
    </w:p>
    <w:p w14:paraId="3E0E2DA7" w14:textId="0F885C7F"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s36</w:t>
      </w:r>
      <w:r w:rsidR="00E13FC4">
        <w:rPr>
          <w:rFonts w:ascii="Palatino Linotype" w:hAnsi="Palatino Linotype"/>
          <w:sz w:val="24"/>
          <w:szCs w:val="24"/>
        </w:rPr>
        <w:tab/>
      </w:r>
      <w:r w:rsidRPr="00946144">
        <w:rPr>
          <w:rFonts w:ascii="Palatino Linotype" w:hAnsi="Palatino Linotype"/>
          <w:sz w:val="24"/>
          <w:szCs w:val="24"/>
        </w:rPr>
        <w:t>Prejudice to effective conduct of public affairs (except information held by the House of Commons or the House of Lords)</w:t>
      </w:r>
    </w:p>
    <w:p w14:paraId="4D9F0536" w14:textId="3CEDE7DA"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s37</w:t>
      </w:r>
      <w:r w:rsidR="00E13FC4">
        <w:rPr>
          <w:rFonts w:ascii="Palatino Linotype" w:hAnsi="Palatino Linotype"/>
          <w:sz w:val="24"/>
          <w:szCs w:val="24"/>
        </w:rPr>
        <w:tab/>
      </w:r>
      <w:r w:rsidRPr="00946144">
        <w:rPr>
          <w:rFonts w:ascii="Palatino Linotype" w:hAnsi="Palatino Linotype"/>
          <w:sz w:val="24"/>
          <w:szCs w:val="24"/>
        </w:rPr>
        <w:t>Communications with Her Majesty, etc., and honours</w:t>
      </w:r>
    </w:p>
    <w:p w14:paraId="71973304" w14:textId="4DDA7D35"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s38</w:t>
      </w:r>
      <w:r w:rsidR="00E13FC4">
        <w:rPr>
          <w:rFonts w:ascii="Palatino Linotype" w:hAnsi="Palatino Linotype"/>
          <w:sz w:val="24"/>
          <w:szCs w:val="24"/>
        </w:rPr>
        <w:tab/>
      </w:r>
      <w:r w:rsidRPr="00946144">
        <w:rPr>
          <w:rFonts w:ascii="Palatino Linotype" w:hAnsi="Palatino Linotype"/>
          <w:sz w:val="24"/>
          <w:szCs w:val="24"/>
        </w:rPr>
        <w:t>Health and safety</w:t>
      </w:r>
    </w:p>
    <w:p w14:paraId="0938CFDF" w14:textId="0E7C05FB"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s39</w:t>
      </w:r>
      <w:r w:rsidR="00E13FC4">
        <w:rPr>
          <w:rFonts w:ascii="Palatino Linotype" w:hAnsi="Palatino Linotype"/>
          <w:sz w:val="24"/>
          <w:szCs w:val="24"/>
        </w:rPr>
        <w:tab/>
      </w:r>
      <w:r w:rsidRPr="00946144">
        <w:rPr>
          <w:rFonts w:ascii="Palatino Linotype" w:hAnsi="Palatino Linotype"/>
          <w:sz w:val="24"/>
          <w:szCs w:val="24"/>
        </w:rPr>
        <w:t>Environmental information</w:t>
      </w:r>
    </w:p>
    <w:p w14:paraId="399A88CF" w14:textId="1E94BF9D"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s40</w:t>
      </w:r>
      <w:r w:rsidR="00E13FC4">
        <w:rPr>
          <w:rFonts w:ascii="Palatino Linotype" w:hAnsi="Palatino Linotype"/>
          <w:sz w:val="24"/>
          <w:szCs w:val="24"/>
        </w:rPr>
        <w:tab/>
      </w:r>
      <w:r w:rsidRPr="00946144">
        <w:rPr>
          <w:rFonts w:ascii="Palatino Linotype" w:hAnsi="Palatino Linotype"/>
          <w:sz w:val="24"/>
          <w:szCs w:val="24"/>
        </w:rPr>
        <w:t>Personal information (Only where the information concerns a third party and a s.10 notice under the Data Protection Act 1998 applies to that information)</w:t>
      </w:r>
    </w:p>
    <w:p w14:paraId="5A7A09A1" w14:textId="2C64DFC1"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s42</w:t>
      </w:r>
      <w:r w:rsidR="00E13FC4">
        <w:rPr>
          <w:rFonts w:ascii="Palatino Linotype" w:hAnsi="Palatino Linotype"/>
          <w:sz w:val="24"/>
          <w:szCs w:val="24"/>
        </w:rPr>
        <w:tab/>
      </w:r>
      <w:r w:rsidRPr="00946144">
        <w:rPr>
          <w:rFonts w:ascii="Palatino Linotype" w:hAnsi="Palatino Linotype"/>
          <w:sz w:val="24"/>
          <w:szCs w:val="24"/>
        </w:rPr>
        <w:t>Legal professional privilege</w:t>
      </w:r>
    </w:p>
    <w:p w14:paraId="69E19D1D" w14:textId="60CE31AF" w:rsidR="002969EE" w:rsidRDefault="00D75CB9" w:rsidP="00561F9B">
      <w:pPr>
        <w:ind w:left="709" w:hanging="709"/>
        <w:rPr>
          <w:rFonts w:ascii="Palatino Linotype" w:hAnsi="Palatino Linotype"/>
          <w:sz w:val="24"/>
          <w:szCs w:val="24"/>
        </w:rPr>
      </w:pPr>
      <w:r w:rsidRPr="00946144">
        <w:rPr>
          <w:rFonts w:ascii="Palatino Linotype" w:hAnsi="Palatino Linotype"/>
          <w:sz w:val="24"/>
          <w:szCs w:val="24"/>
        </w:rPr>
        <w:t>s43</w:t>
      </w:r>
      <w:r w:rsidR="00E13FC4">
        <w:rPr>
          <w:rFonts w:ascii="Palatino Linotype" w:hAnsi="Palatino Linotype"/>
          <w:sz w:val="24"/>
          <w:szCs w:val="24"/>
        </w:rPr>
        <w:tab/>
      </w:r>
      <w:r w:rsidRPr="00946144">
        <w:rPr>
          <w:rFonts w:ascii="Palatino Linotype" w:hAnsi="Palatino Linotype"/>
          <w:sz w:val="24"/>
          <w:szCs w:val="24"/>
        </w:rPr>
        <w:t>Commercial interests</w:t>
      </w:r>
    </w:p>
    <w:p w14:paraId="54ED56DF" w14:textId="77777777" w:rsidR="002969EE" w:rsidRDefault="002969EE" w:rsidP="00561F9B">
      <w:pPr>
        <w:rPr>
          <w:rFonts w:ascii="Palatino Linotype" w:hAnsi="Palatino Linotype"/>
          <w:sz w:val="24"/>
          <w:szCs w:val="24"/>
        </w:rPr>
      </w:pPr>
    </w:p>
    <w:sectPr w:rsidR="002969EE" w:rsidSect="00946144">
      <w:headerReference w:type="default" r:id="rId10"/>
      <w:pgSz w:w="11906" w:h="16838"/>
      <w:pgMar w:top="2095"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71209" w14:textId="77777777" w:rsidR="00146812" w:rsidRDefault="00146812">
      <w:r>
        <w:separator/>
      </w:r>
    </w:p>
  </w:endnote>
  <w:endnote w:type="continuationSeparator" w:id="0">
    <w:p w14:paraId="20C3C08F" w14:textId="77777777" w:rsidR="00146812" w:rsidRDefault="0014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69DD" w14:textId="77777777" w:rsidR="00146812" w:rsidRDefault="00146812">
      <w:r>
        <w:separator/>
      </w:r>
    </w:p>
  </w:footnote>
  <w:footnote w:type="continuationSeparator" w:id="0">
    <w:p w14:paraId="6714E1D7" w14:textId="77777777" w:rsidR="00146812" w:rsidRDefault="00146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2BF76" w14:textId="1BA34F09" w:rsidR="00C4592D" w:rsidRPr="008442C9" w:rsidRDefault="00213743" w:rsidP="008442C9">
    <w:pPr>
      <w:pStyle w:val="Header"/>
    </w:pPr>
    <w:r>
      <w:rPr>
        <w:noProof/>
      </w:rPr>
      <w:drawing>
        <wp:inline distT="0" distB="0" distL="0" distR="0" wp14:anchorId="631BD3D3" wp14:editId="2D4B7ACA">
          <wp:extent cx="809236" cy="5741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17698" cy="5801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06D6"/>
    <w:multiLevelType w:val="hybridMultilevel"/>
    <w:tmpl w:val="EC9A5E6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ED4812"/>
    <w:multiLevelType w:val="hybridMultilevel"/>
    <w:tmpl w:val="28D87502"/>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cs="Times New Roman"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17210F29"/>
    <w:multiLevelType w:val="hybridMultilevel"/>
    <w:tmpl w:val="B2C8155E"/>
    <w:lvl w:ilvl="0" w:tplc="08090001">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D07F0A"/>
    <w:multiLevelType w:val="hybridMultilevel"/>
    <w:tmpl w:val="BA585B38"/>
    <w:lvl w:ilvl="0" w:tplc="08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102CF9"/>
    <w:multiLevelType w:val="multilevel"/>
    <w:tmpl w:val="2BD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5013E"/>
    <w:multiLevelType w:val="hybridMultilevel"/>
    <w:tmpl w:val="BBCABB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830812"/>
    <w:multiLevelType w:val="hybridMultilevel"/>
    <w:tmpl w:val="DD5EF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0B7F"/>
    <w:rsid w:val="00084E10"/>
    <w:rsid w:val="000F6C8E"/>
    <w:rsid w:val="00130847"/>
    <w:rsid w:val="00146812"/>
    <w:rsid w:val="00167E93"/>
    <w:rsid w:val="001851FC"/>
    <w:rsid w:val="001855AF"/>
    <w:rsid w:val="00213743"/>
    <w:rsid w:val="00273720"/>
    <w:rsid w:val="00290B4E"/>
    <w:rsid w:val="002969EE"/>
    <w:rsid w:val="00297969"/>
    <w:rsid w:val="002A5930"/>
    <w:rsid w:val="002D6114"/>
    <w:rsid w:val="003636AF"/>
    <w:rsid w:val="003C0D9F"/>
    <w:rsid w:val="003F6BF3"/>
    <w:rsid w:val="00473344"/>
    <w:rsid w:val="004818B9"/>
    <w:rsid w:val="004B4935"/>
    <w:rsid w:val="004B498A"/>
    <w:rsid w:val="004B74B9"/>
    <w:rsid w:val="004C1720"/>
    <w:rsid w:val="0051510D"/>
    <w:rsid w:val="00561F9B"/>
    <w:rsid w:val="00565705"/>
    <w:rsid w:val="005836C3"/>
    <w:rsid w:val="005E731F"/>
    <w:rsid w:val="00634C68"/>
    <w:rsid w:val="00636294"/>
    <w:rsid w:val="006D050D"/>
    <w:rsid w:val="007370D5"/>
    <w:rsid w:val="007869BD"/>
    <w:rsid w:val="008442C9"/>
    <w:rsid w:val="008D0DA7"/>
    <w:rsid w:val="008E3528"/>
    <w:rsid w:val="00946144"/>
    <w:rsid w:val="009475E3"/>
    <w:rsid w:val="00976743"/>
    <w:rsid w:val="00983606"/>
    <w:rsid w:val="009A3E3B"/>
    <w:rsid w:val="009D025D"/>
    <w:rsid w:val="009F0D33"/>
    <w:rsid w:val="009F7901"/>
    <w:rsid w:val="00A15F66"/>
    <w:rsid w:val="00A74481"/>
    <w:rsid w:val="00AC1D14"/>
    <w:rsid w:val="00AD2355"/>
    <w:rsid w:val="00B054E2"/>
    <w:rsid w:val="00B408BC"/>
    <w:rsid w:val="00B65FB3"/>
    <w:rsid w:val="00B9315F"/>
    <w:rsid w:val="00BD1794"/>
    <w:rsid w:val="00BD278C"/>
    <w:rsid w:val="00BD57D3"/>
    <w:rsid w:val="00C4592D"/>
    <w:rsid w:val="00C84DA8"/>
    <w:rsid w:val="00CB5623"/>
    <w:rsid w:val="00D11F61"/>
    <w:rsid w:val="00D21427"/>
    <w:rsid w:val="00D65A64"/>
    <w:rsid w:val="00D75CB9"/>
    <w:rsid w:val="00E01A82"/>
    <w:rsid w:val="00E13FC4"/>
    <w:rsid w:val="00E237F8"/>
    <w:rsid w:val="00E272CA"/>
    <w:rsid w:val="00E60B7F"/>
    <w:rsid w:val="00E84783"/>
    <w:rsid w:val="00EA1FF6"/>
    <w:rsid w:val="00EB5515"/>
    <w:rsid w:val="00F2744D"/>
    <w:rsid w:val="00FC3922"/>
    <w:rsid w:val="00FC6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2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4B9"/>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rsid w:val="00E60B7F"/>
    <w:pPr>
      <w:spacing w:after="120"/>
    </w:pPr>
    <w:rPr>
      <w:rFonts w:eastAsia="Times New Roman" w:cs="Arial"/>
      <w:b/>
      <w:bCs/>
      <w:caps/>
      <w:sz w:val="28"/>
      <w:szCs w:val="28"/>
    </w:rPr>
  </w:style>
  <w:style w:type="paragraph" w:customStyle="1" w:styleId="BodyText1">
    <w:name w:val="Body Text1"/>
    <w:basedOn w:val="Normal"/>
    <w:rsid w:val="00E60B7F"/>
    <w:pPr>
      <w:ind w:firstLine="720"/>
      <w:jc w:val="both"/>
    </w:pPr>
    <w:rPr>
      <w:rFonts w:eastAsia="Times New Roman" w:cs="Arial"/>
    </w:rPr>
  </w:style>
  <w:style w:type="paragraph" w:customStyle="1" w:styleId="bulletlist">
    <w:name w:val="bullet list"/>
    <w:basedOn w:val="Normal"/>
    <w:rsid w:val="00E60B7F"/>
    <w:pPr>
      <w:numPr>
        <w:numId w:val="2"/>
      </w:numPr>
    </w:pPr>
    <w:rPr>
      <w:rFonts w:eastAsia="Times New Roman" w:cs="Arial"/>
    </w:rPr>
  </w:style>
  <w:style w:type="paragraph" w:customStyle="1" w:styleId="startexamplebox">
    <w:name w:val="start example box"/>
    <w:basedOn w:val="Normal"/>
    <w:rsid w:val="00E60B7F"/>
    <w:rPr>
      <w:rFonts w:eastAsia="Times New Roman" w:cs="Arial"/>
      <w:i/>
      <w:iCs/>
      <w:color w:val="FF0000"/>
      <w:sz w:val="20"/>
      <w:szCs w:val="20"/>
    </w:rPr>
  </w:style>
  <w:style w:type="paragraph" w:customStyle="1" w:styleId="exampleheading1">
    <w:name w:val="example heading 1"/>
    <w:basedOn w:val="BodyText1"/>
    <w:rsid w:val="00E60B7F"/>
    <w:pPr>
      <w:spacing w:before="120" w:after="120"/>
      <w:jc w:val="left"/>
    </w:pPr>
    <w:rPr>
      <w:rFonts w:ascii="Garamond" w:hAnsi="Garamond" w:cs="Times New Roman"/>
      <w:b/>
      <w:bCs/>
      <w:caps/>
      <w:sz w:val="28"/>
      <w:szCs w:val="28"/>
    </w:rPr>
  </w:style>
  <w:style w:type="paragraph" w:styleId="Header">
    <w:name w:val="header"/>
    <w:aliases w:val="Customisable document title"/>
    <w:basedOn w:val="Normal"/>
    <w:link w:val="HeaderChar"/>
    <w:uiPriority w:val="99"/>
    <w:rsid w:val="00636294"/>
    <w:pPr>
      <w:tabs>
        <w:tab w:val="center" w:pos="4320"/>
        <w:tab w:val="right" w:pos="8640"/>
      </w:tabs>
    </w:pPr>
  </w:style>
  <w:style w:type="paragraph" w:styleId="Footer">
    <w:name w:val="footer"/>
    <w:basedOn w:val="Normal"/>
    <w:link w:val="FooterChar"/>
    <w:uiPriority w:val="99"/>
    <w:rsid w:val="00636294"/>
    <w:pPr>
      <w:tabs>
        <w:tab w:val="center" w:pos="4320"/>
        <w:tab w:val="right" w:pos="8640"/>
      </w:tabs>
    </w:pPr>
  </w:style>
  <w:style w:type="character" w:customStyle="1" w:styleId="HeaderChar">
    <w:name w:val="Header Char"/>
    <w:aliases w:val="Customisable document title Char"/>
    <w:basedOn w:val="DefaultParagraphFont"/>
    <w:link w:val="Header"/>
    <w:uiPriority w:val="99"/>
    <w:rsid w:val="00636294"/>
    <w:rPr>
      <w:rFonts w:ascii="Arial" w:eastAsia="Calibri" w:hAnsi="Arial"/>
      <w:sz w:val="22"/>
      <w:szCs w:val="22"/>
      <w:lang w:val="en-GB" w:eastAsia="en-US" w:bidi="ar-SA"/>
    </w:rPr>
  </w:style>
  <w:style w:type="character" w:customStyle="1" w:styleId="FooterChar">
    <w:name w:val="Footer Char"/>
    <w:basedOn w:val="DefaultParagraphFont"/>
    <w:link w:val="Footer"/>
    <w:uiPriority w:val="99"/>
    <w:rsid w:val="00636294"/>
    <w:rPr>
      <w:rFonts w:ascii="Arial" w:eastAsia="Calibri" w:hAnsi="Arial"/>
      <w:sz w:val="22"/>
      <w:szCs w:val="22"/>
      <w:lang w:val="en-GB" w:eastAsia="en-US" w:bidi="ar-SA"/>
    </w:rPr>
  </w:style>
  <w:style w:type="paragraph" w:customStyle="1" w:styleId="Customisabledocumentheading">
    <w:name w:val="Customisable document heading"/>
    <w:basedOn w:val="Normal"/>
    <w:next w:val="Normal"/>
    <w:qFormat/>
    <w:rsid w:val="00636294"/>
    <w:rPr>
      <w:b/>
    </w:rPr>
  </w:style>
  <w:style w:type="character" w:styleId="Hyperlink">
    <w:name w:val="Hyperlink"/>
    <w:basedOn w:val="DefaultParagraphFont"/>
    <w:rsid w:val="00CB5623"/>
    <w:rPr>
      <w:color w:val="0000FF"/>
      <w:u w:val="single"/>
    </w:rPr>
  </w:style>
  <w:style w:type="paragraph" w:styleId="BalloonText">
    <w:name w:val="Balloon Text"/>
    <w:basedOn w:val="Normal"/>
    <w:link w:val="BalloonTextChar"/>
    <w:uiPriority w:val="99"/>
    <w:semiHidden/>
    <w:unhideWhenUsed/>
    <w:rsid w:val="00946144"/>
    <w:rPr>
      <w:rFonts w:ascii="Tahoma" w:hAnsi="Tahoma" w:cs="Tahoma"/>
      <w:sz w:val="16"/>
      <w:szCs w:val="16"/>
    </w:rPr>
  </w:style>
  <w:style w:type="character" w:customStyle="1" w:styleId="BalloonTextChar">
    <w:name w:val="Balloon Text Char"/>
    <w:basedOn w:val="DefaultParagraphFont"/>
    <w:link w:val="BalloonText"/>
    <w:uiPriority w:val="99"/>
    <w:semiHidden/>
    <w:rsid w:val="00946144"/>
    <w:rPr>
      <w:rFonts w:ascii="Tahoma" w:hAnsi="Tahoma" w:cs="Tahoma"/>
      <w:sz w:val="16"/>
      <w:szCs w:val="16"/>
      <w:lang w:eastAsia="en-US"/>
    </w:rPr>
  </w:style>
  <w:style w:type="paragraph" w:styleId="NormalWeb">
    <w:name w:val="Normal (Web)"/>
    <w:basedOn w:val="Normal"/>
    <w:uiPriority w:val="99"/>
    <w:semiHidden/>
    <w:unhideWhenUsed/>
    <w:rsid w:val="000F6C8E"/>
    <w:rPr>
      <w:rFonts w:ascii="Times New Roman" w:hAnsi="Times New Roman"/>
      <w:sz w:val="24"/>
      <w:szCs w:val="24"/>
    </w:rPr>
  </w:style>
  <w:style w:type="paragraph" w:styleId="ListParagraph">
    <w:name w:val="List Paragraph"/>
    <w:basedOn w:val="Normal"/>
    <w:uiPriority w:val="34"/>
    <w:qFormat/>
    <w:rsid w:val="000F6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82973">
      <w:bodyDiv w:val="1"/>
      <w:marLeft w:val="0"/>
      <w:marRight w:val="0"/>
      <w:marTop w:val="0"/>
      <w:marBottom w:val="0"/>
      <w:divBdr>
        <w:top w:val="none" w:sz="0" w:space="0" w:color="auto"/>
        <w:left w:val="none" w:sz="0" w:space="0" w:color="auto"/>
        <w:bottom w:val="none" w:sz="0" w:space="0" w:color="auto"/>
        <w:right w:val="none" w:sz="0" w:space="0" w:color="auto"/>
      </w:divBdr>
    </w:div>
    <w:div w:id="101530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D2F6B-F899-4227-A3BB-BBB11FECDBA6}"/>
</file>

<file path=customXml/itemProps2.xml><?xml version="1.0" encoding="utf-8"?>
<ds:datastoreItem xmlns:ds="http://schemas.openxmlformats.org/officeDocument/2006/customXml" ds:itemID="{C130AE07-5888-4964-B1AC-AF646144D9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9CE902-70B6-433F-8CA3-72230D5483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5259</Characters>
  <Application>Microsoft Office Word</Application>
  <DocSecurity>0</DocSecurity>
  <Lines>125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2017-09-02T07:21:00Z</dcterms:created>
  <dcterms:modified xsi:type="dcterms:W3CDTF">2018-04-27T09:39:00Z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