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78F" w:rsidRPr="0009178F" w:rsidRDefault="0009178F" w:rsidP="0009178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9178F">
        <w:rPr>
          <w:rFonts w:ascii="Times New Roman" w:eastAsia="Times New Roman" w:hAnsi="Times New Roman" w:cs="Times New Roman"/>
          <w:b/>
          <w:bCs/>
          <w:kern w:val="36"/>
          <w:sz w:val="48"/>
          <w:szCs w:val="48"/>
          <w:lang w:val="en-US"/>
        </w:rPr>
        <w:t>WHO Health Dashboard – Data Analysis Report</w:t>
      </w:r>
    </w:p>
    <w:p w:rsidR="0009178F" w:rsidRPr="0009178F" w:rsidRDefault="0009178F" w:rsidP="0009178F">
      <w:pPr>
        <w:spacing w:before="100" w:beforeAutospacing="1" w:after="100" w:afterAutospacing="1" w:line="240" w:lineRule="auto"/>
        <w:rPr>
          <w:rFonts w:ascii="Times New Roman" w:eastAsia="Times New Roman" w:hAnsi="Times New Roman" w:cs="Times New Roman"/>
          <w:sz w:val="24"/>
          <w:szCs w:val="24"/>
          <w:lang w:val="en-US"/>
        </w:rPr>
      </w:pPr>
      <w:r w:rsidRPr="0009178F">
        <w:rPr>
          <w:rFonts w:ascii="Times New Roman" w:eastAsia="Times New Roman" w:hAnsi="Times New Roman" w:cs="Times New Roman"/>
          <w:b/>
          <w:bCs/>
          <w:sz w:val="24"/>
          <w:szCs w:val="24"/>
          <w:lang w:val="en-US"/>
        </w:rPr>
        <w:t>Project:</w:t>
      </w:r>
      <w:r w:rsidRPr="0009178F">
        <w:rPr>
          <w:rFonts w:ascii="Times New Roman" w:eastAsia="Times New Roman" w:hAnsi="Times New Roman" w:cs="Times New Roman"/>
          <w:sz w:val="24"/>
          <w:szCs w:val="24"/>
          <w:lang w:val="en-US"/>
        </w:rPr>
        <w:t xml:space="preserve"> WHO Health Pipeline</w:t>
      </w:r>
      <w:r w:rsidRPr="0009178F">
        <w:rPr>
          <w:rFonts w:ascii="Times New Roman" w:eastAsia="Times New Roman" w:hAnsi="Times New Roman" w:cs="Times New Roman"/>
          <w:sz w:val="24"/>
          <w:szCs w:val="24"/>
          <w:lang w:val="en-US"/>
        </w:rPr>
        <w:br/>
      </w:r>
      <w:r w:rsidRPr="0009178F">
        <w:rPr>
          <w:rFonts w:ascii="Times New Roman" w:eastAsia="Times New Roman" w:hAnsi="Times New Roman" w:cs="Times New Roman"/>
          <w:b/>
          <w:bCs/>
          <w:sz w:val="24"/>
          <w:szCs w:val="24"/>
          <w:lang w:val="en-US"/>
        </w:rPr>
        <w:t>Author:</w:t>
      </w:r>
      <w:r w:rsidRPr="0009178F">
        <w:rPr>
          <w:rFonts w:ascii="Times New Roman" w:eastAsia="Times New Roman" w:hAnsi="Times New Roman" w:cs="Times New Roman"/>
          <w:sz w:val="24"/>
          <w:szCs w:val="24"/>
          <w:lang w:val="en-US"/>
        </w:rPr>
        <w:t xml:space="preserve"> Joao</w:t>
      </w:r>
      <w:r w:rsidRPr="0009178F">
        <w:rPr>
          <w:rFonts w:ascii="Times New Roman" w:eastAsia="Times New Roman" w:hAnsi="Times New Roman" w:cs="Times New Roman"/>
          <w:sz w:val="24"/>
          <w:szCs w:val="24"/>
          <w:lang w:val="en-US"/>
        </w:rPr>
        <w:br/>
      </w:r>
      <w:r w:rsidRPr="0009178F">
        <w:rPr>
          <w:rFonts w:ascii="Times New Roman" w:eastAsia="Times New Roman" w:hAnsi="Times New Roman" w:cs="Times New Roman"/>
          <w:b/>
          <w:bCs/>
          <w:sz w:val="24"/>
          <w:szCs w:val="24"/>
          <w:lang w:val="en-US"/>
        </w:rPr>
        <w:t>Date:</w:t>
      </w:r>
      <w:r w:rsidRPr="0009178F">
        <w:rPr>
          <w:rFonts w:ascii="Times New Roman" w:eastAsia="Times New Roman" w:hAnsi="Times New Roman" w:cs="Times New Roman"/>
          <w:sz w:val="24"/>
          <w:szCs w:val="24"/>
          <w:lang w:val="en-US"/>
        </w:rPr>
        <w:t xml:space="preserve"> May 2025</w:t>
      </w:r>
    </w:p>
    <w:p w:rsidR="00DB48D5" w:rsidRPr="00DB48D5" w:rsidRDefault="00DB48D5" w:rsidP="00DB48D5">
      <w:pPr>
        <w:pStyle w:val="Ttulo2"/>
        <w:rPr>
          <w:color w:val="auto"/>
          <w:lang w:val="en-US"/>
        </w:rPr>
      </w:pPr>
      <w:r w:rsidRPr="00DB48D5">
        <w:rPr>
          <w:color w:val="auto"/>
        </w:rPr>
        <w:t xml:space="preserve">1. </w:t>
      </w:r>
      <w:proofErr w:type="spellStart"/>
      <w:r w:rsidRPr="00DB48D5">
        <w:rPr>
          <w:color w:val="auto"/>
        </w:rPr>
        <w:t>Dataset</w:t>
      </w:r>
      <w:proofErr w:type="spellEnd"/>
      <w:r w:rsidRPr="00DB48D5">
        <w:rPr>
          <w:color w:val="auto"/>
        </w:rPr>
        <w:t xml:space="preserve"> </w:t>
      </w:r>
      <w:proofErr w:type="spellStart"/>
      <w:r w:rsidRPr="00DB48D5">
        <w:rPr>
          <w:color w:val="auto"/>
        </w:rPr>
        <w:t>Description</w:t>
      </w:r>
      <w:proofErr w:type="spellEnd"/>
    </w:p>
    <w:p w:rsidR="00DB48D5" w:rsidRDefault="00DB48D5" w:rsidP="00DB48D5">
      <w:pPr>
        <w:pStyle w:val="NormalWeb"/>
      </w:pPr>
      <w:r>
        <w:t>The dataset was extracted from the WHO Global Health Observatory API and includes indicators related to health coverage and essential services across countries. The cleaned and processed data includes the following key indicators:</w:t>
      </w:r>
    </w:p>
    <w:p w:rsidR="00DB48D5" w:rsidRDefault="00DB48D5" w:rsidP="00DB48D5">
      <w:pPr>
        <w:pStyle w:val="NormalWeb"/>
        <w:numPr>
          <w:ilvl w:val="0"/>
          <w:numId w:val="20"/>
        </w:numPr>
      </w:pPr>
      <w:r>
        <w:rPr>
          <w:rStyle w:val="Textoennegrita"/>
          <w:rFonts w:eastAsiaTheme="majorEastAsia"/>
        </w:rPr>
        <w:t>Life Expectancy</w:t>
      </w:r>
      <w:r>
        <w:t xml:space="preserve"> (</w:t>
      </w:r>
      <w:proofErr w:type="spellStart"/>
      <w:r>
        <w:rPr>
          <w:rStyle w:val="CdigoHTML"/>
          <w:rFonts w:eastAsiaTheme="majorEastAsia"/>
        </w:rPr>
        <w:t>life_expectancy</w:t>
      </w:r>
      <w:proofErr w:type="spellEnd"/>
      <w:r>
        <w:t>): Life expectancy at birth, disaggregated by sex, with high/low confidence bounds.</w:t>
      </w:r>
    </w:p>
    <w:p w:rsidR="00DB48D5" w:rsidRDefault="00DB48D5" w:rsidP="00DB48D5">
      <w:pPr>
        <w:pStyle w:val="NormalWeb"/>
        <w:numPr>
          <w:ilvl w:val="0"/>
          <w:numId w:val="20"/>
        </w:numPr>
      </w:pPr>
      <w:r>
        <w:rPr>
          <w:rStyle w:val="Textoennegrita"/>
          <w:rFonts w:eastAsiaTheme="majorEastAsia"/>
        </w:rPr>
        <w:t>Universal Health Coverage Index</w:t>
      </w:r>
      <w:r>
        <w:t xml:space="preserve"> (</w:t>
      </w:r>
      <w:proofErr w:type="spellStart"/>
      <w:r>
        <w:rPr>
          <w:rStyle w:val="CdigoHTML"/>
          <w:rFonts w:eastAsiaTheme="majorEastAsia"/>
        </w:rPr>
        <w:t>uhc_index</w:t>
      </w:r>
      <w:proofErr w:type="spellEnd"/>
      <w:r>
        <w:t>): Composite index measuring access to essential health services (scale: 0–100).</w:t>
      </w:r>
    </w:p>
    <w:p w:rsidR="00DB48D5" w:rsidRDefault="00DB48D5" w:rsidP="00DB48D5">
      <w:pPr>
        <w:pStyle w:val="NormalWeb"/>
        <w:numPr>
          <w:ilvl w:val="0"/>
          <w:numId w:val="20"/>
        </w:numPr>
      </w:pPr>
      <w:r>
        <w:rPr>
          <w:rStyle w:val="Textoennegrita"/>
          <w:rFonts w:eastAsiaTheme="majorEastAsia"/>
        </w:rPr>
        <w:t>Access to Safe Drinking Water</w:t>
      </w:r>
      <w:r>
        <w:t xml:space="preserve"> (</w:t>
      </w:r>
      <w:proofErr w:type="spellStart"/>
      <w:r>
        <w:rPr>
          <w:rStyle w:val="CdigoHTML"/>
          <w:rFonts w:eastAsiaTheme="majorEastAsia"/>
        </w:rPr>
        <w:t>water_access</w:t>
      </w:r>
      <w:proofErr w:type="spellEnd"/>
      <w:r>
        <w:t>): Percentage of population with access to safely managed drinking water, disaggregated by area of residence (urban, rural, total).</w:t>
      </w:r>
    </w:p>
    <w:p w:rsidR="00DB48D5" w:rsidRDefault="00DB48D5" w:rsidP="00DB48D5">
      <w:pPr>
        <w:pStyle w:val="NormalWeb"/>
        <w:numPr>
          <w:ilvl w:val="0"/>
          <w:numId w:val="20"/>
        </w:numPr>
      </w:pPr>
      <w:r>
        <w:rPr>
          <w:rStyle w:val="Textoennegrita"/>
          <w:rFonts w:eastAsiaTheme="majorEastAsia"/>
        </w:rPr>
        <w:t>Access to Safe Sanitation Services</w:t>
      </w:r>
      <w:r>
        <w:t xml:space="preserve"> (</w:t>
      </w:r>
      <w:proofErr w:type="spellStart"/>
      <w:r>
        <w:rPr>
          <w:rStyle w:val="CdigoHTML"/>
          <w:rFonts w:eastAsiaTheme="majorEastAsia"/>
        </w:rPr>
        <w:t>sanitation_access</w:t>
      </w:r>
      <w:proofErr w:type="spellEnd"/>
      <w:r>
        <w:t>): Percentage of population with access to safely managed sanitation, also by area of residence.</w:t>
      </w:r>
    </w:p>
    <w:p w:rsidR="00DB48D5" w:rsidRDefault="00DB48D5" w:rsidP="00DB48D5">
      <w:pPr>
        <w:pStyle w:val="NormalWeb"/>
      </w:pPr>
      <w:r>
        <w:t xml:space="preserve">All indicators are linked using a shared key: </w:t>
      </w:r>
      <w:proofErr w:type="spellStart"/>
      <w:r>
        <w:rPr>
          <w:rStyle w:val="CdigoHTML"/>
          <w:rFonts w:eastAsiaTheme="majorEastAsia"/>
        </w:rPr>
        <w:t>pk_country_year</w:t>
      </w:r>
      <w:proofErr w:type="spellEnd"/>
      <w:r>
        <w:t xml:space="preserve"> (combination of ISO-3 country code and year).</w:t>
      </w:r>
    </w:p>
    <w:p w:rsidR="00DB48D5" w:rsidRDefault="00DB48D5" w:rsidP="00DB48D5">
      <w:r>
        <w:pict>
          <v:rect id="_x0000_i1045" style="width:0;height:1.5pt" o:hralign="center" o:hrstd="t" o:hr="t" fillcolor="#a0a0a0" stroked="f"/>
        </w:pict>
      </w:r>
    </w:p>
    <w:p w:rsidR="00DB48D5" w:rsidRPr="00DB48D5" w:rsidRDefault="00DB48D5" w:rsidP="00DB48D5">
      <w:pPr>
        <w:pStyle w:val="Ttulo2"/>
        <w:rPr>
          <w:color w:val="auto"/>
        </w:rPr>
      </w:pPr>
      <w:r w:rsidRPr="00DB48D5">
        <w:rPr>
          <w:color w:val="auto"/>
        </w:rPr>
        <w:t xml:space="preserve">2. Visual </w:t>
      </w:r>
      <w:proofErr w:type="spellStart"/>
      <w:r w:rsidRPr="00DB48D5">
        <w:rPr>
          <w:color w:val="auto"/>
        </w:rPr>
        <w:t>Insights</w:t>
      </w:r>
      <w:proofErr w:type="spellEnd"/>
      <w:r w:rsidRPr="00DB48D5">
        <w:rPr>
          <w:color w:val="auto"/>
        </w:rPr>
        <w:t xml:space="preserve"> and </w:t>
      </w:r>
      <w:proofErr w:type="spellStart"/>
      <w:r w:rsidRPr="00DB48D5">
        <w:rPr>
          <w:color w:val="auto"/>
        </w:rPr>
        <w:t>Observed</w:t>
      </w:r>
      <w:proofErr w:type="spellEnd"/>
      <w:r w:rsidRPr="00DB48D5">
        <w:rPr>
          <w:color w:val="auto"/>
        </w:rPr>
        <w:t xml:space="preserve"> </w:t>
      </w:r>
      <w:proofErr w:type="spellStart"/>
      <w:r w:rsidRPr="00DB48D5">
        <w:rPr>
          <w:color w:val="auto"/>
        </w:rPr>
        <w:t>Patterns</w:t>
      </w:r>
      <w:proofErr w:type="spellEnd"/>
    </w:p>
    <w:p w:rsidR="00DB48D5" w:rsidRPr="00DB48D5" w:rsidRDefault="00DB48D5" w:rsidP="00DB48D5">
      <w:pPr>
        <w:pStyle w:val="Ttulo3"/>
        <w:rPr>
          <w:color w:val="auto"/>
        </w:rPr>
      </w:pPr>
      <w:r w:rsidRPr="00DB48D5">
        <w:rPr>
          <w:color w:val="auto"/>
        </w:rPr>
        <w:t xml:space="preserve">A. </w:t>
      </w:r>
      <w:proofErr w:type="spellStart"/>
      <w:r w:rsidRPr="00DB48D5">
        <w:rPr>
          <w:color w:val="auto"/>
        </w:rPr>
        <w:t>Life</w:t>
      </w:r>
      <w:proofErr w:type="spellEnd"/>
      <w:r w:rsidRPr="00DB48D5">
        <w:rPr>
          <w:color w:val="auto"/>
        </w:rPr>
        <w:t xml:space="preserve"> </w:t>
      </w:r>
      <w:proofErr w:type="spellStart"/>
      <w:r w:rsidRPr="00DB48D5">
        <w:rPr>
          <w:color w:val="auto"/>
        </w:rPr>
        <w:t>Expectancy</w:t>
      </w:r>
      <w:proofErr w:type="spellEnd"/>
    </w:p>
    <w:p w:rsidR="00DB48D5" w:rsidRDefault="00DB48D5" w:rsidP="00DB48D5">
      <w:pPr>
        <w:pStyle w:val="NormalWeb"/>
        <w:numPr>
          <w:ilvl w:val="0"/>
          <w:numId w:val="21"/>
        </w:numPr>
      </w:pPr>
      <w:r>
        <w:rPr>
          <w:rStyle w:val="Textoennegrita"/>
          <w:rFonts w:eastAsiaTheme="majorEastAsia"/>
        </w:rPr>
        <w:t>Global Trend</w:t>
      </w:r>
      <w:r>
        <w:t>: Life expectancy has steadily increased from 2000 to 2019 in most countries, with exceptions in regions affected by conflict or health crises.</w:t>
      </w:r>
    </w:p>
    <w:p w:rsidR="00DB48D5" w:rsidRDefault="00DB48D5" w:rsidP="00DD06EB">
      <w:pPr>
        <w:pStyle w:val="NormalWeb"/>
        <w:jc w:val="center"/>
      </w:pPr>
      <w:r>
        <w:rPr>
          <w:noProof/>
        </w:rPr>
        <w:lastRenderedPageBreak/>
        <w:drawing>
          <wp:inline distT="0" distB="0" distL="0" distR="0" wp14:anchorId="7E92DEAD" wp14:editId="112CBD29">
            <wp:extent cx="5376603" cy="19735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1012" cy="1975198"/>
                    </a:xfrm>
                    <a:prstGeom prst="rect">
                      <a:avLst/>
                    </a:prstGeom>
                  </pic:spPr>
                </pic:pic>
              </a:graphicData>
            </a:graphic>
          </wp:inline>
        </w:drawing>
      </w:r>
    </w:p>
    <w:p w:rsidR="00DD06EB" w:rsidRDefault="00DB48D5" w:rsidP="00DD06EB">
      <w:pPr>
        <w:pStyle w:val="NormalWeb"/>
        <w:numPr>
          <w:ilvl w:val="0"/>
          <w:numId w:val="21"/>
        </w:numPr>
      </w:pPr>
      <w:r>
        <w:rPr>
          <w:rStyle w:val="Textoennegrita"/>
          <w:rFonts w:eastAsiaTheme="majorEastAsia"/>
        </w:rPr>
        <w:t>Gender Gap</w:t>
      </w:r>
      <w:r>
        <w:t>: Female life expectancy is consistently higher than male across all countries, with an avera</w:t>
      </w:r>
      <w:r w:rsidR="00DD06EB">
        <w:t>ge global difference of ~5</w:t>
      </w:r>
      <w:r>
        <w:t>.</w:t>
      </w:r>
    </w:p>
    <w:p w:rsidR="00DD06EB" w:rsidRDefault="00DD06EB" w:rsidP="00DD06EB">
      <w:pPr>
        <w:pStyle w:val="NormalWeb"/>
        <w:numPr>
          <w:ilvl w:val="1"/>
          <w:numId w:val="21"/>
        </w:numPr>
        <w:rPr>
          <w:rStyle w:val="Textoennegrita"/>
          <w:rFonts w:eastAsiaTheme="majorEastAsia"/>
        </w:rPr>
        <w:sectPr w:rsidR="00DD06EB">
          <w:pgSz w:w="12240" w:h="15840"/>
          <w:pgMar w:top="1417" w:right="1701" w:bottom="1417" w:left="1701" w:header="708" w:footer="708" w:gutter="0"/>
          <w:cols w:space="708"/>
          <w:docGrid w:linePitch="360"/>
        </w:sectPr>
      </w:pPr>
    </w:p>
    <w:p w:rsidR="00DD06EB" w:rsidRDefault="00DD06EB" w:rsidP="0006781A">
      <w:pPr>
        <w:pStyle w:val="NormalWeb"/>
        <w:numPr>
          <w:ilvl w:val="1"/>
          <w:numId w:val="21"/>
        </w:numPr>
      </w:pPr>
      <w:r>
        <w:rPr>
          <w:rStyle w:val="Textoennegrita"/>
          <w:rFonts w:eastAsiaTheme="majorEastAsia"/>
        </w:rPr>
        <w:lastRenderedPageBreak/>
        <w:t xml:space="preserve">Male </w:t>
      </w:r>
      <w:r w:rsidRPr="00DD06EB">
        <w:t>:</w:t>
      </w:r>
      <w:r>
        <w:rPr>
          <w:noProof/>
        </w:rPr>
        <w:drawing>
          <wp:inline distT="0" distB="0" distL="0" distR="0" wp14:anchorId="19793EE5" wp14:editId="5B6E92E8">
            <wp:extent cx="1826895" cy="755073"/>
            <wp:effectExtent l="0" t="0" r="1905"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 b="2029"/>
                    <a:stretch/>
                  </pic:blipFill>
                  <pic:spPr bwMode="auto">
                    <a:xfrm>
                      <a:off x="0" y="0"/>
                      <a:ext cx="1826895" cy="755073"/>
                    </a:xfrm>
                    <a:prstGeom prst="rect">
                      <a:avLst/>
                    </a:prstGeom>
                    <a:ln>
                      <a:noFill/>
                    </a:ln>
                    <a:extLst>
                      <a:ext uri="{53640926-AAD7-44D8-BBD7-CCE9431645EC}">
                        <a14:shadowObscured xmlns:a14="http://schemas.microsoft.com/office/drawing/2010/main"/>
                      </a:ext>
                    </a:extLst>
                  </pic:spPr>
                </pic:pic>
              </a:graphicData>
            </a:graphic>
          </wp:inline>
        </w:drawing>
      </w:r>
    </w:p>
    <w:p w:rsidR="00DD06EB" w:rsidRDefault="00DD06EB" w:rsidP="0006781A">
      <w:pPr>
        <w:pStyle w:val="NormalWeb"/>
        <w:numPr>
          <w:ilvl w:val="1"/>
          <w:numId w:val="21"/>
        </w:numPr>
        <w:rPr>
          <w:noProof/>
        </w:rPr>
        <w:sectPr w:rsidR="00DD06EB" w:rsidSect="00DD06EB">
          <w:type w:val="continuous"/>
          <w:pgSz w:w="12240" w:h="15840"/>
          <w:pgMar w:top="1417" w:right="1701" w:bottom="1417" w:left="1701" w:header="708" w:footer="708" w:gutter="0"/>
          <w:cols w:num="2" w:space="708"/>
          <w:docGrid w:linePitch="360"/>
        </w:sectPr>
      </w:pPr>
      <w:r>
        <w:rPr>
          <w:rStyle w:val="Textoennegrita"/>
          <w:rFonts w:eastAsiaTheme="majorEastAsia"/>
        </w:rPr>
        <w:lastRenderedPageBreak/>
        <w:t>Female</w:t>
      </w:r>
      <w:r w:rsidRPr="00DD06EB">
        <w:rPr>
          <w:noProof/>
        </w:rPr>
        <w:t xml:space="preserve">: </w:t>
      </w:r>
      <w:r>
        <w:rPr>
          <w:noProof/>
        </w:rPr>
        <w:drawing>
          <wp:inline distT="0" distB="0" distL="0" distR="0" wp14:anchorId="27277DC3" wp14:editId="31107144">
            <wp:extent cx="1809750" cy="762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439"/>
                    <a:stretch/>
                  </pic:blipFill>
                  <pic:spPr bwMode="auto">
                    <a:xfrm>
                      <a:off x="0" y="0"/>
                      <a:ext cx="1809750" cy="762000"/>
                    </a:xfrm>
                    <a:prstGeom prst="rect">
                      <a:avLst/>
                    </a:prstGeom>
                    <a:ln>
                      <a:noFill/>
                    </a:ln>
                    <a:extLst>
                      <a:ext uri="{53640926-AAD7-44D8-BBD7-CCE9431645EC}">
                        <a14:shadowObscured xmlns:a14="http://schemas.microsoft.com/office/drawing/2010/main"/>
                      </a:ext>
                    </a:extLst>
                  </pic:spPr>
                </pic:pic>
              </a:graphicData>
            </a:graphic>
          </wp:inline>
        </w:drawing>
      </w:r>
    </w:p>
    <w:p w:rsidR="00DD06EB" w:rsidRDefault="00DD06EB" w:rsidP="0006781A">
      <w:pPr>
        <w:pStyle w:val="NormalWeb"/>
      </w:pPr>
    </w:p>
    <w:p w:rsidR="00DB48D5" w:rsidRDefault="00DB48D5" w:rsidP="0006781A">
      <w:pPr>
        <w:pStyle w:val="NormalWeb"/>
        <w:numPr>
          <w:ilvl w:val="0"/>
          <w:numId w:val="21"/>
        </w:numPr>
      </w:pPr>
      <w:r>
        <w:rPr>
          <w:rStyle w:val="Textoennegrita"/>
          <w:rFonts w:eastAsiaTheme="majorEastAsia"/>
        </w:rPr>
        <w:t>Data Gaps</w:t>
      </w:r>
      <w:r>
        <w:t xml:space="preserve">: </w:t>
      </w:r>
      <w:r w:rsidR="0006781A" w:rsidRPr="0006781A">
        <w:t>Some countries show missing values</w:t>
      </w:r>
      <w:r w:rsidR="0006781A">
        <w:t>.</w:t>
      </w:r>
    </w:p>
    <w:p w:rsidR="00DD06EB" w:rsidRDefault="0006781A" w:rsidP="0006781A">
      <w:pPr>
        <w:pStyle w:val="NormalWeb"/>
        <w:jc w:val="center"/>
      </w:pPr>
      <w:r>
        <w:rPr>
          <w:noProof/>
        </w:rPr>
        <w:drawing>
          <wp:inline distT="0" distB="0" distL="0" distR="0">
            <wp:extent cx="5612130" cy="2723515"/>
            <wp:effectExtent l="0" t="0" r="762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2723515"/>
                    </a:xfrm>
                    <a:prstGeom prst="rect">
                      <a:avLst/>
                    </a:prstGeom>
                  </pic:spPr>
                </pic:pic>
              </a:graphicData>
            </a:graphic>
          </wp:inline>
        </w:drawing>
      </w:r>
    </w:p>
    <w:p w:rsidR="00DB48D5" w:rsidRDefault="00DB48D5" w:rsidP="00DB48D5">
      <w:pPr>
        <w:pStyle w:val="Ttulo3"/>
      </w:pPr>
      <w:r>
        <w:t xml:space="preserve">B. Universal </w:t>
      </w:r>
      <w:proofErr w:type="spellStart"/>
      <w:r>
        <w:t>Health</w:t>
      </w:r>
      <w:proofErr w:type="spellEnd"/>
      <w:r>
        <w:t xml:space="preserve"> </w:t>
      </w:r>
      <w:proofErr w:type="spellStart"/>
      <w:r>
        <w:t>Coverage</w:t>
      </w:r>
      <w:proofErr w:type="spellEnd"/>
      <w:r>
        <w:t xml:space="preserve"> </w:t>
      </w:r>
      <w:proofErr w:type="spellStart"/>
      <w:r>
        <w:t>Index</w:t>
      </w:r>
      <w:proofErr w:type="spellEnd"/>
      <w:r>
        <w:t xml:space="preserve"> (UHC)</w:t>
      </w:r>
    </w:p>
    <w:p w:rsidR="00DB48D5" w:rsidRDefault="00DB48D5" w:rsidP="00DB48D5">
      <w:pPr>
        <w:pStyle w:val="NormalWeb"/>
        <w:numPr>
          <w:ilvl w:val="0"/>
          <w:numId w:val="22"/>
        </w:numPr>
      </w:pPr>
      <w:r>
        <w:rPr>
          <w:rStyle w:val="Textoennegrita"/>
          <w:rFonts w:eastAsiaTheme="majorEastAsia"/>
        </w:rPr>
        <w:t>Definition</w:t>
      </w:r>
      <w:r>
        <w:t xml:space="preserve">: The UHC index measures access to essential health services including reproductive, maternal, newborn, child health, infectious diseases, </w:t>
      </w:r>
      <w:proofErr w:type="spellStart"/>
      <w:r>
        <w:t>noncommunicable</w:t>
      </w:r>
      <w:proofErr w:type="spellEnd"/>
      <w:r>
        <w:t xml:space="preserve"> diseases, and service capacity.</w:t>
      </w:r>
    </w:p>
    <w:p w:rsidR="00DB48D5" w:rsidRDefault="00DB48D5" w:rsidP="00DB48D5">
      <w:pPr>
        <w:pStyle w:val="NormalWeb"/>
        <w:numPr>
          <w:ilvl w:val="0"/>
          <w:numId w:val="22"/>
        </w:numPr>
      </w:pPr>
      <w:r>
        <w:rPr>
          <w:rStyle w:val="Textoennegrita"/>
          <w:rFonts w:eastAsiaTheme="majorEastAsia"/>
        </w:rPr>
        <w:lastRenderedPageBreak/>
        <w:t>Observations</w:t>
      </w:r>
      <w:r>
        <w:t>:</w:t>
      </w:r>
    </w:p>
    <w:p w:rsidR="00DB48D5" w:rsidRDefault="00DB48D5" w:rsidP="00DB48D5">
      <w:pPr>
        <w:pStyle w:val="NormalWeb"/>
        <w:numPr>
          <w:ilvl w:val="1"/>
          <w:numId w:val="22"/>
        </w:numPr>
      </w:pPr>
      <w:r>
        <w:t>Top-performing countries (e.g., Japan, Norway, Sweden) score above 80.</w:t>
      </w:r>
    </w:p>
    <w:p w:rsidR="00DB48D5" w:rsidRDefault="00DB48D5" w:rsidP="00DB48D5">
      <w:pPr>
        <w:pStyle w:val="NormalWeb"/>
        <w:numPr>
          <w:ilvl w:val="1"/>
          <w:numId w:val="22"/>
        </w:numPr>
      </w:pPr>
      <w:r>
        <w:t>Sub-Saharan Africa and Southeast Asia tend to score below 50, indicating major gaps.</w:t>
      </w:r>
    </w:p>
    <w:p w:rsidR="00DB48D5" w:rsidRDefault="00DB48D5" w:rsidP="00DB48D5">
      <w:pPr>
        <w:pStyle w:val="NormalWeb"/>
        <w:numPr>
          <w:ilvl w:val="1"/>
          <w:numId w:val="22"/>
        </w:numPr>
      </w:pPr>
      <w:r>
        <w:t>There is a positive correlation between UHC and life expectancy (r ≈ 0.</w:t>
      </w:r>
      <w:r w:rsidR="0006781A">
        <w:t>85</w:t>
      </w:r>
      <w:r>
        <w:t>).</w:t>
      </w:r>
    </w:p>
    <w:p w:rsidR="0006781A" w:rsidRDefault="0006781A" w:rsidP="0006781A">
      <w:pPr>
        <w:pStyle w:val="NormalWeb"/>
        <w:ind w:left="1440"/>
      </w:pPr>
      <w:r>
        <w:rPr>
          <w:noProof/>
        </w:rPr>
        <w:drawing>
          <wp:inline distT="0" distB="0" distL="0" distR="0" wp14:anchorId="5D56B800" wp14:editId="6F582720">
            <wp:extent cx="4267200" cy="2628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7200" cy="2628900"/>
                    </a:xfrm>
                    <a:prstGeom prst="rect">
                      <a:avLst/>
                    </a:prstGeom>
                  </pic:spPr>
                </pic:pic>
              </a:graphicData>
            </a:graphic>
          </wp:inline>
        </w:drawing>
      </w:r>
    </w:p>
    <w:p w:rsidR="00DB48D5" w:rsidRPr="00DB48D5" w:rsidRDefault="00DB48D5" w:rsidP="00DB48D5">
      <w:pPr>
        <w:pStyle w:val="Ttulo3"/>
        <w:rPr>
          <w:color w:val="auto"/>
        </w:rPr>
      </w:pPr>
      <w:r w:rsidRPr="00DB48D5">
        <w:rPr>
          <w:color w:val="auto"/>
        </w:rPr>
        <w:t xml:space="preserve">C. Access to </w:t>
      </w:r>
      <w:proofErr w:type="spellStart"/>
      <w:r w:rsidRPr="00DB48D5">
        <w:rPr>
          <w:color w:val="auto"/>
        </w:rPr>
        <w:t>Safe</w:t>
      </w:r>
      <w:proofErr w:type="spellEnd"/>
      <w:r w:rsidRPr="00DB48D5">
        <w:rPr>
          <w:color w:val="auto"/>
        </w:rPr>
        <w:t xml:space="preserve"> </w:t>
      </w:r>
      <w:proofErr w:type="spellStart"/>
      <w:r w:rsidRPr="00DB48D5">
        <w:rPr>
          <w:color w:val="auto"/>
        </w:rPr>
        <w:t>Drinking</w:t>
      </w:r>
      <w:proofErr w:type="spellEnd"/>
      <w:r w:rsidRPr="00DB48D5">
        <w:rPr>
          <w:color w:val="auto"/>
        </w:rPr>
        <w:t xml:space="preserve"> </w:t>
      </w:r>
      <w:proofErr w:type="spellStart"/>
      <w:r w:rsidRPr="00DB48D5">
        <w:rPr>
          <w:color w:val="auto"/>
        </w:rPr>
        <w:t>Water</w:t>
      </w:r>
      <w:proofErr w:type="spellEnd"/>
    </w:p>
    <w:p w:rsidR="00DB48D5" w:rsidRDefault="00DB48D5" w:rsidP="00DB48D5">
      <w:pPr>
        <w:pStyle w:val="NormalWeb"/>
        <w:numPr>
          <w:ilvl w:val="0"/>
          <w:numId w:val="23"/>
        </w:numPr>
      </w:pPr>
      <w:r>
        <w:rPr>
          <w:rStyle w:val="Textoennegrita"/>
          <w:rFonts w:eastAsiaTheme="majorEastAsia"/>
        </w:rPr>
        <w:t>Urban-Rural Divide</w:t>
      </w:r>
      <w:r>
        <w:t>: Urban areas consistently report higher access rates, often exceeding 95%, while rural access shows more variability.</w:t>
      </w:r>
    </w:p>
    <w:p w:rsidR="00DB48D5" w:rsidRDefault="00DB48D5" w:rsidP="00DB48D5">
      <w:pPr>
        <w:pStyle w:val="NormalWeb"/>
        <w:numPr>
          <w:ilvl w:val="0"/>
          <w:numId w:val="23"/>
        </w:numPr>
      </w:pPr>
      <w:r>
        <w:rPr>
          <w:rStyle w:val="Textoennegrita"/>
          <w:rFonts w:eastAsiaTheme="majorEastAsia"/>
        </w:rPr>
        <w:t>Coverage Leaders</w:t>
      </w:r>
      <w:r>
        <w:t>: High-income countries report nearly universal coverage across all residence types.</w:t>
      </w:r>
    </w:p>
    <w:p w:rsidR="00DB48D5" w:rsidRDefault="00DB48D5" w:rsidP="00DB48D5">
      <w:pPr>
        <w:pStyle w:val="NormalWeb"/>
        <w:numPr>
          <w:ilvl w:val="0"/>
          <w:numId w:val="23"/>
        </w:numPr>
      </w:pPr>
      <w:r>
        <w:rPr>
          <w:rStyle w:val="Textoennegrita"/>
          <w:rFonts w:eastAsiaTheme="majorEastAsia"/>
        </w:rPr>
        <w:t>Data Issues</w:t>
      </w:r>
      <w:r>
        <w:t>: In some cases, total population coverage is missing, but urban and rural values are present; we applied interpolation where both were available.</w:t>
      </w:r>
    </w:p>
    <w:p w:rsidR="00DB48D5" w:rsidRDefault="00DB48D5" w:rsidP="00DB48D5">
      <w:pPr>
        <w:pStyle w:val="NormalWeb"/>
        <w:numPr>
          <w:ilvl w:val="0"/>
          <w:numId w:val="23"/>
        </w:numPr>
      </w:pPr>
      <w:r>
        <w:rPr>
          <w:rStyle w:val="Textoennegrita"/>
          <w:rFonts w:eastAsiaTheme="majorEastAsia"/>
        </w:rPr>
        <w:t>Correlation</w:t>
      </w:r>
      <w:r>
        <w:t>: Life expectancy correlates positively with access to safe drinking water (r ≈ 0.</w:t>
      </w:r>
      <w:r w:rsidR="00E12EB8">
        <w:t>71</w:t>
      </w:r>
      <w:r>
        <w:t>).</w:t>
      </w:r>
    </w:p>
    <w:p w:rsidR="00E12EB8" w:rsidRDefault="00E12EB8" w:rsidP="00F22A48">
      <w:pPr>
        <w:pStyle w:val="NormalWeb"/>
        <w:ind w:left="720"/>
        <w:jc w:val="center"/>
      </w:pPr>
      <w:r>
        <w:rPr>
          <w:noProof/>
        </w:rPr>
        <w:drawing>
          <wp:inline distT="0" distB="0" distL="0" distR="0" wp14:anchorId="422E6759" wp14:editId="460D93FA">
            <wp:extent cx="4267200" cy="24098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7200" cy="2409825"/>
                    </a:xfrm>
                    <a:prstGeom prst="rect">
                      <a:avLst/>
                    </a:prstGeom>
                  </pic:spPr>
                </pic:pic>
              </a:graphicData>
            </a:graphic>
          </wp:inline>
        </w:drawing>
      </w:r>
    </w:p>
    <w:p w:rsidR="00DB48D5" w:rsidRPr="00DB48D5" w:rsidRDefault="00DB48D5" w:rsidP="00DB48D5">
      <w:pPr>
        <w:pStyle w:val="Ttulo3"/>
        <w:rPr>
          <w:color w:val="auto"/>
        </w:rPr>
      </w:pPr>
      <w:r w:rsidRPr="00DB48D5">
        <w:rPr>
          <w:color w:val="auto"/>
        </w:rPr>
        <w:lastRenderedPageBreak/>
        <w:t xml:space="preserve">D. Access to </w:t>
      </w:r>
      <w:proofErr w:type="spellStart"/>
      <w:r w:rsidRPr="00DB48D5">
        <w:rPr>
          <w:color w:val="auto"/>
        </w:rPr>
        <w:t>Sanitation</w:t>
      </w:r>
      <w:proofErr w:type="spellEnd"/>
      <w:r w:rsidRPr="00DB48D5">
        <w:rPr>
          <w:color w:val="auto"/>
        </w:rPr>
        <w:t xml:space="preserve"> </w:t>
      </w:r>
      <w:proofErr w:type="spellStart"/>
      <w:r w:rsidRPr="00DB48D5">
        <w:rPr>
          <w:color w:val="auto"/>
        </w:rPr>
        <w:t>Services</w:t>
      </w:r>
      <w:proofErr w:type="spellEnd"/>
    </w:p>
    <w:p w:rsidR="00DB48D5" w:rsidRDefault="00DB48D5" w:rsidP="00DB48D5">
      <w:pPr>
        <w:pStyle w:val="NormalWeb"/>
        <w:numPr>
          <w:ilvl w:val="0"/>
          <w:numId w:val="24"/>
        </w:numPr>
      </w:pPr>
      <w:r>
        <w:rPr>
          <w:rStyle w:val="Textoennegrita"/>
          <w:rFonts w:eastAsiaTheme="majorEastAsia"/>
        </w:rPr>
        <w:t>Progress and Gaps</w:t>
      </w:r>
      <w:r>
        <w:t>:</w:t>
      </w:r>
    </w:p>
    <w:p w:rsidR="00DB48D5" w:rsidRDefault="00DB48D5" w:rsidP="00DB48D5">
      <w:pPr>
        <w:pStyle w:val="NormalWeb"/>
        <w:numPr>
          <w:ilvl w:val="1"/>
          <w:numId w:val="24"/>
        </w:numPr>
      </w:pPr>
      <w:r>
        <w:t>Sanitation progress has lagged behind water access globally.</w:t>
      </w:r>
    </w:p>
    <w:p w:rsidR="00DB48D5" w:rsidRDefault="00DB48D5" w:rsidP="00DB48D5">
      <w:pPr>
        <w:pStyle w:val="NormalWeb"/>
        <w:numPr>
          <w:ilvl w:val="1"/>
          <w:numId w:val="24"/>
        </w:numPr>
      </w:pPr>
      <w:r>
        <w:t>In rural areas of Sub-Saharan Africa, access often remains below 30%.</w:t>
      </w:r>
    </w:p>
    <w:p w:rsidR="00DB48D5" w:rsidRDefault="00DB48D5" w:rsidP="00DB48D5">
      <w:pPr>
        <w:pStyle w:val="NormalWeb"/>
        <w:numPr>
          <w:ilvl w:val="0"/>
          <w:numId w:val="24"/>
        </w:numPr>
      </w:pPr>
      <w:r>
        <w:rPr>
          <w:rStyle w:val="Textoennegrita"/>
          <w:rFonts w:eastAsiaTheme="majorEastAsia"/>
        </w:rPr>
        <w:t>Urban-Rural Disparities</w:t>
      </w:r>
      <w:r>
        <w:t>: The urban-rural gap is more pronounced for sanitation than for water.</w:t>
      </w:r>
    </w:p>
    <w:p w:rsidR="00DB48D5" w:rsidRDefault="00DB48D5" w:rsidP="00DB48D5">
      <w:pPr>
        <w:pStyle w:val="NormalWeb"/>
        <w:numPr>
          <w:ilvl w:val="0"/>
          <w:numId w:val="24"/>
        </w:numPr>
      </w:pPr>
      <w:r>
        <w:rPr>
          <w:rStyle w:val="Textoennegrita"/>
          <w:rFonts w:eastAsiaTheme="majorEastAsia"/>
        </w:rPr>
        <w:t>Correlation</w:t>
      </w:r>
      <w:r>
        <w:t>: Access to sanitation is strongly associated with life expectancy (r ≈ 0.</w:t>
      </w:r>
      <w:r w:rsidR="00F22A48">
        <w:t>84</w:t>
      </w:r>
      <w:r>
        <w:t>).</w:t>
      </w:r>
    </w:p>
    <w:p w:rsidR="00F22A48" w:rsidRDefault="00F22A48" w:rsidP="00F22A48">
      <w:pPr>
        <w:pStyle w:val="NormalWeb"/>
        <w:ind w:left="720"/>
        <w:jc w:val="center"/>
      </w:pPr>
      <w:r>
        <w:rPr>
          <w:noProof/>
        </w:rPr>
        <w:drawing>
          <wp:inline distT="0" distB="0" distL="0" distR="0" wp14:anchorId="63452C2A" wp14:editId="21459720">
            <wp:extent cx="4286250" cy="25527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6250" cy="2552700"/>
                    </a:xfrm>
                    <a:prstGeom prst="rect">
                      <a:avLst/>
                    </a:prstGeom>
                  </pic:spPr>
                </pic:pic>
              </a:graphicData>
            </a:graphic>
          </wp:inline>
        </w:drawing>
      </w:r>
    </w:p>
    <w:p w:rsidR="00DB48D5" w:rsidRDefault="00DB48D5" w:rsidP="00DB48D5">
      <w:r>
        <w:pict>
          <v:rect id="_x0000_i1046" style="width:0;height:1.5pt" o:hralign="center" o:hrstd="t" o:hr="t" fillcolor="#a0a0a0" stroked="f"/>
        </w:pict>
      </w:r>
    </w:p>
    <w:p w:rsidR="00DB48D5" w:rsidRPr="00DB48D5" w:rsidRDefault="00DB48D5" w:rsidP="00DB48D5">
      <w:pPr>
        <w:pStyle w:val="Ttulo2"/>
        <w:rPr>
          <w:color w:val="auto"/>
        </w:rPr>
      </w:pPr>
      <w:r w:rsidRPr="00DB48D5">
        <w:rPr>
          <w:color w:val="auto"/>
        </w:rPr>
        <w:t xml:space="preserve">3. Data </w:t>
      </w:r>
      <w:proofErr w:type="spellStart"/>
      <w:r w:rsidRPr="00DB48D5">
        <w:rPr>
          <w:color w:val="auto"/>
        </w:rPr>
        <w:t>Limitations</w:t>
      </w:r>
      <w:proofErr w:type="spellEnd"/>
      <w:r w:rsidRPr="00DB48D5">
        <w:rPr>
          <w:color w:val="auto"/>
        </w:rPr>
        <w:t xml:space="preserve"> and </w:t>
      </w:r>
      <w:proofErr w:type="spellStart"/>
      <w:r w:rsidRPr="00DB48D5">
        <w:rPr>
          <w:color w:val="auto"/>
        </w:rPr>
        <w:t>Considerations</w:t>
      </w:r>
      <w:proofErr w:type="spellEnd"/>
    </w:p>
    <w:p w:rsidR="00DB48D5" w:rsidRDefault="00DB48D5" w:rsidP="00DB48D5">
      <w:pPr>
        <w:pStyle w:val="NormalWeb"/>
        <w:numPr>
          <w:ilvl w:val="0"/>
          <w:numId w:val="25"/>
        </w:numPr>
      </w:pPr>
      <w:r>
        <w:rPr>
          <w:rStyle w:val="Textoennegrita"/>
          <w:rFonts w:eastAsiaTheme="majorEastAsia"/>
        </w:rPr>
        <w:t>Missing Values</w:t>
      </w:r>
      <w:r>
        <w:t>: Some countries have no total values but do report urban and rural components</w:t>
      </w:r>
      <w:r w:rsidR="00C3337D">
        <w:t xml:space="preserve"> (or not report one of these)</w:t>
      </w:r>
      <w:r>
        <w:t>.</w:t>
      </w:r>
    </w:p>
    <w:p w:rsidR="00DB48D5" w:rsidRDefault="00DB48D5" w:rsidP="00DB48D5">
      <w:pPr>
        <w:pStyle w:val="NormalWeb"/>
        <w:numPr>
          <w:ilvl w:val="0"/>
          <w:numId w:val="25"/>
        </w:numPr>
      </w:pPr>
      <w:r>
        <w:rPr>
          <w:rStyle w:val="Textoennegrita"/>
          <w:rFonts w:eastAsiaTheme="majorEastAsia"/>
        </w:rPr>
        <w:t>Dimensional Inconsistency</w:t>
      </w:r>
      <w:r>
        <w:t>: Certain indicators lack data for overlapping years, which limits synchronized multi-variable analysis.</w:t>
      </w:r>
    </w:p>
    <w:p w:rsidR="00DB48D5" w:rsidRDefault="00DB48D5" w:rsidP="00DB48D5">
      <w:pPr>
        <w:pStyle w:val="NormalWeb"/>
        <w:numPr>
          <w:ilvl w:val="0"/>
          <w:numId w:val="25"/>
        </w:numPr>
      </w:pPr>
      <w:r>
        <w:rPr>
          <w:rStyle w:val="Textoennegrita"/>
          <w:rFonts w:eastAsiaTheme="majorEastAsia"/>
        </w:rPr>
        <w:t>Interpolation Methodology</w:t>
      </w:r>
      <w:r>
        <w:t>: Total values were estimated conservatively only when both urban and rural values were present.</w:t>
      </w:r>
    </w:p>
    <w:p w:rsidR="00DB48D5" w:rsidRDefault="00DB48D5" w:rsidP="00DB48D5">
      <w:pPr>
        <w:pStyle w:val="NormalWeb"/>
        <w:numPr>
          <w:ilvl w:val="0"/>
          <w:numId w:val="25"/>
        </w:numPr>
      </w:pPr>
      <w:r>
        <w:rPr>
          <w:rStyle w:val="Textoennegrita"/>
          <w:rFonts w:eastAsiaTheme="majorEastAsia"/>
        </w:rPr>
        <w:t>Bias Risk</w:t>
      </w:r>
      <w:r>
        <w:t>: Countries with lower infrastructure are more likely to have missing or incomplete records, which may affect correlation accuracy.</w:t>
      </w:r>
    </w:p>
    <w:p w:rsidR="00DB48D5" w:rsidRDefault="00DB48D5" w:rsidP="00DB48D5">
      <w:r>
        <w:pict>
          <v:rect id="_x0000_i1047" style="width:0;height:1.5pt" o:hralign="center" o:hrstd="t" o:hr="t" fillcolor="#a0a0a0" stroked="f"/>
        </w:pict>
      </w:r>
    </w:p>
    <w:p w:rsidR="00DB48D5" w:rsidRPr="00DB48D5" w:rsidRDefault="00DB48D5" w:rsidP="00DB48D5">
      <w:pPr>
        <w:pStyle w:val="Ttulo2"/>
        <w:rPr>
          <w:color w:val="auto"/>
        </w:rPr>
      </w:pPr>
      <w:r w:rsidRPr="00DB48D5">
        <w:rPr>
          <w:color w:val="auto"/>
        </w:rPr>
        <w:t xml:space="preserve">4. </w:t>
      </w:r>
      <w:proofErr w:type="spellStart"/>
      <w:r w:rsidRPr="00DB48D5">
        <w:rPr>
          <w:color w:val="auto"/>
        </w:rPr>
        <w:t>Recommendations</w:t>
      </w:r>
      <w:proofErr w:type="spellEnd"/>
    </w:p>
    <w:p w:rsidR="00DB48D5" w:rsidRPr="00DB48D5" w:rsidRDefault="00DB48D5" w:rsidP="00DB48D5">
      <w:pPr>
        <w:pStyle w:val="Ttulo3"/>
        <w:rPr>
          <w:color w:val="auto"/>
        </w:rPr>
      </w:pPr>
      <w:r w:rsidRPr="00DB48D5">
        <w:rPr>
          <w:color w:val="auto"/>
        </w:rPr>
        <w:t xml:space="preserve">A. Pipeline </w:t>
      </w:r>
      <w:proofErr w:type="spellStart"/>
      <w:r w:rsidRPr="00DB48D5">
        <w:rPr>
          <w:color w:val="auto"/>
        </w:rPr>
        <w:t>Improvements</w:t>
      </w:r>
      <w:proofErr w:type="spellEnd"/>
    </w:p>
    <w:p w:rsidR="00DB48D5" w:rsidRDefault="00DB48D5" w:rsidP="00DB48D5">
      <w:pPr>
        <w:pStyle w:val="NormalWeb"/>
        <w:numPr>
          <w:ilvl w:val="0"/>
          <w:numId w:val="26"/>
        </w:numPr>
      </w:pPr>
      <w:r>
        <w:t xml:space="preserve">Add a </w:t>
      </w:r>
      <w:r>
        <w:rPr>
          <w:rStyle w:val="Textoennegrita"/>
          <w:rFonts w:eastAsiaTheme="majorEastAsia"/>
        </w:rPr>
        <w:t>data validation</w:t>
      </w:r>
      <w:r>
        <w:t xml:space="preserve"> step post-transformation to detect outliers and anomalies.</w:t>
      </w:r>
    </w:p>
    <w:p w:rsidR="00DB48D5" w:rsidRDefault="00DB48D5" w:rsidP="00DB48D5">
      <w:pPr>
        <w:pStyle w:val="NormalWeb"/>
        <w:numPr>
          <w:ilvl w:val="0"/>
          <w:numId w:val="26"/>
        </w:numPr>
      </w:pPr>
      <w:r>
        <w:t xml:space="preserve">Compute and include </w:t>
      </w:r>
      <w:r>
        <w:rPr>
          <w:rStyle w:val="Textoennegrita"/>
          <w:rFonts w:eastAsiaTheme="majorEastAsia"/>
        </w:rPr>
        <w:t>regional averages</w:t>
      </w:r>
      <w:r>
        <w:t xml:space="preserve"> (e.g., WHO regions) to enable better benchmarking.</w:t>
      </w:r>
    </w:p>
    <w:p w:rsidR="00DB48D5" w:rsidRDefault="00DB48D5" w:rsidP="00DB48D5">
      <w:pPr>
        <w:pStyle w:val="NormalWeb"/>
        <w:numPr>
          <w:ilvl w:val="0"/>
          <w:numId w:val="26"/>
        </w:numPr>
      </w:pPr>
      <w:r>
        <w:lastRenderedPageBreak/>
        <w:t xml:space="preserve">Automate </w:t>
      </w:r>
      <w:r>
        <w:rPr>
          <w:rStyle w:val="Textoennegrita"/>
          <w:rFonts w:eastAsiaTheme="majorEastAsia"/>
        </w:rPr>
        <w:t>total value calculation</w:t>
      </w:r>
      <w:r>
        <w:t xml:space="preserve"> from urban and rural values when both are available.</w:t>
      </w:r>
    </w:p>
    <w:p w:rsidR="00DB48D5" w:rsidRDefault="00DB48D5" w:rsidP="00DB48D5">
      <w:pPr>
        <w:pStyle w:val="Ttulo3"/>
      </w:pPr>
      <w:r w:rsidRPr="00DB48D5">
        <w:rPr>
          <w:color w:val="auto"/>
        </w:rPr>
        <w:t xml:space="preserve">B. </w:t>
      </w:r>
      <w:proofErr w:type="spellStart"/>
      <w:r w:rsidRPr="00DB48D5">
        <w:rPr>
          <w:color w:val="auto"/>
        </w:rPr>
        <w:t>Power</w:t>
      </w:r>
      <w:proofErr w:type="spellEnd"/>
      <w:r w:rsidRPr="00DB48D5">
        <w:rPr>
          <w:color w:val="auto"/>
        </w:rPr>
        <w:t xml:space="preserve"> BI </w:t>
      </w:r>
      <w:proofErr w:type="spellStart"/>
      <w:r w:rsidRPr="00DB48D5">
        <w:rPr>
          <w:color w:val="auto"/>
        </w:rPr>
        <w:t>Dashboard</w:t>
      </w:r>
      <w:proofErr w:type="spellEnd"/>
      <w:r w:rsidRPr="00DB48D5">
        <w:rPr>
          <w:color w:val="auto"/>
        </w:rPr>
        <w:t xml:space="preserve"> </w:t>
      </w:r>
      <w:proofErr w:type="spellStart"/>
      <w:r w:rsidRPr="00DB48D5">
        <w:rPr>
          <w:color w:val="auto"/>
        </w:rPr>
        <w:t>Enhancements</w:t>
      </w:r>
      <w:proofErr w:type="spellEnd"/>
    </w:p>
    <w:p w:rsidR="00DB48D5" w:rsidRDefault="00DB48D5" w:rsidP="00DB48D5">
      <w:pPr>
        <w:pStyle w:val="NormalWeb"/>
        <w:numPr>
          <w:ilvl w:val="0"/>
          <w:numId w:val="27"/>
        </w:numPr>
      </w:pPr>
      <w:r>
        <w:t xml:space="preserve">Add a </w:t>
      </w:r>
      <w:r>
        <w:rPr>
          <w:rStyle w:val="Textoennegrita"/>
          <w:rFonts w:eastAsiaTheme="majorEastAsia"/>
        </w:rPr>
        <w:t>"Data Quality"</w:t>
      </w:r>
      <w:r>
        <w:t xml:space="preserve"> page showing missing value ratios by indicator and country.</w:t>
      </w:r>
    </w:p>
    <w:p w:rsidR="00DB48D5" w:rsidRDefault="00DB48D5" w:rsidP="00DB48D5">
      <w:pPr>
        <w:pStyle w:val="NormalWeb"/>
        <w:numPr>
          <w:ilvl w:val="0"/>
          <w:numId w:val="27"/>
        </w:numPr>
      </w:pPr>
      <w:r>
        <w:t xml:space="preserve">Implement dynamic filters for </w:t>
      </w:r>
      <w:r>
        <w:rPr>
          <w:rStyle w:val="Textoennegrita"/>
          <w:rFonts w:eastAsiaTheme="majorEastAsia"/>
        </w:rPr>
        <w:t>income level</w:t>
      </w:r>
      <w:r>
        <w:t xml:space="preserve"> and </w:t>
      </w:r>
      <w:r>
        <w:rPr>
          <w:rStyle w:val="Textoennegrita"/>
          <w:rFonts w:eastAsiaTheme="majorEastAsia"/>
        </w:rPr>
        <w:t>WHO region</w:t>
      </w:r>
      <w:r>
        <w:t>.</w:t>
      </w:r>
    </w:p>
    <w:p w:rsidR="00DB48D5" w:rsidRDefault="00DB48D5" w:rsidP="00DB48D5">
      <w:pPr>
        <w:pStyle w:val="NormalWeb"/>
        <w:numPr>
          <w:ilvl w:val="0"/>
          <w:numId w:val="27"/>
        </w:numPr>
      </w:pPr>
      <w:r>
        <w:t xml:space="preserve">Add </w:t>
      </w:r>
      <w:r>
        <w:rPr>
          <w:rStyle w:val="Textoennegrita"/>
          <w:rFonts w:eastAsiaTheme="majorEastAsia"/>
        </w:rPr>
        <w:t>trend visuals</w:t>
      </w:r>
      <w:r>
        <w:t xml:space="preserve"> using rolling averages and year-over-year deltas.</w:t>
      </w:r>
    </w:p>
    <w:p w:rsidR="00DB48D5" w:rsidRDefault="00DB48D5" w:rsidP="00DB48D5">
      <w:r>
        <w:pict>
          <v:rect id="_x0000_i1048" style="width:0;height:1.5pt" o:hralign="center" o:hrstd="t" o:hr="t" fillcolor="#a0a0a0" stroked="f"/>
        </w:pict>
      </w:r>
    </w:p>
    <w:p w:rsidR="00DB48D5" w:rsidRPr="00DB48D5" w:rsidRDefault="00DB48D5" w:rsidP="00DB48D5">
      <w:pPr>
        <w:pStyle w:val="Ttulo2"/>
        <w:rPr>
          <w:color w:val="auto"/>
        </w:rPr>
      </w:pPr>
      <w:r w:rsidRPr="00DB48D5">
        <w:rPr>
          <w:color w:val="auto"/>
        </w:rPr>
        <w:t xml:space="preserve">5. </w:t>
      </w:r>
      <w:proofErr w:type="spellStart"/>
      <w:r w:rsidRPr="00DB48D5">
        <w:rPr>
          <w:color w:val="auto"/>
        </w:rPr>
        <w:t>Conclusions</w:t>
      </w:r>
      <w:proofErr w:type="spellEnd"/>
    </w:p>
    <w:p w:rsidR="000C01A7" w:rsidRDefault="00DB48D5" w:rsidP="00C3337D">
      <w:pPr>
        <w:pStyle w:val="NormalWeb"/>
      </w:pPr>
      <w:r>
        <w:t xml:space="preserve">This analysis supports the hypothesis that </w:t>
      </w:r>
      <w:r>
        <w:rPr>
          <w:rStyle w:val="Textoennegrita"/>
          <w:rFonts w:eastAsiaTheme="majorEastAsia"/>
        </w:rPr>
        <w:t>life expectancy is positively associated with health system strength (UHC), access to clean water, and access to sanitation</w:t>
      </w:r>
      <w:r>
        <w:t>. The WHO Health Dashboard offers a strong foundation to explore global health disparities and monitor progress toward Sustainable Development Goals (SDGs).</w:t>
      </w:r>
      <w:r>
        <w:br/>
        <w:t xml:space="preserve">With more robust data handling and contextual filters, the dashboard can become a powerful tool for </w:t>
      </w:r>
      <w:r>
        <w:rPr>
          <w:rStyle w:val="Textoennegrita"/>
          <w:rFonts w:eastAsiaTheme="majorEastAsia"/>
        </w:rPr>
        <w:t>policymakers, NGOs, and researchers</w:t>
      </w:r>
      <w:r>
        <w:t xml:space="preserve"> in global health.</w:t>
      </w:r>
    </w:p>
    <w:p w:rsidR="00155006" w:rsidRDefault="00155006" w:rsidP="00C3337D">
      <w:pPr>
        <w:pStyle w:val="NormalWeb"/>
      </w:pPr>
    </w:p>
    <w:p w:rsidR="00155006" w:rsidRDefault="00155006" w:rsidP="00C3337D">
      <w:pPr>
        <w:pStyle w:val="NormalWeb"/>
      </w:pPr>
      <w:r>
        <w:rPr>
          <w:noProof/>
        </w:rPr>
        <w:drawing>
          <wp:inline distT="0" distB="0" distL="0" distR="0" wp14:anchorId="0EC4CA02" wp14:editId="2DAAC847">
            <wp:extent cx="5612130" cy="315150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1505"/>
                    </a:xfrm>
                    <a:prstGeom prst="rect">
                      <a:avLst/>
                    </a:prstGeom>
                  </pic:spPr>
                </pic:pic>
              </a:graphicData>
            </a:graphic>
          </wp:inline>
        </w:drawing>
      </w:r>
      <w:bookmarkStart w:id="0" w:name="_GoBack"/>
      <w:bookmarkEnd w:id="0"/>
    </w:p>
    <w:sectPr w:rsidR="00155006" w:rsidSect="00DD06EB">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3597B"/>
    <w:multiLevelType w:val="multilevel"/>
    <w:tmpl w:val="22E2A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029F"/>
    <w:multiLevelType w:val="multilevel"/>
    <w:tmpl w:val="6E5AE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348BD"/>
    <w:multiLevelType w:val="multilevel"/>
    <w:tmpl w:val="934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A7644"/>
    <w:multiLevelType w:val="multilevel"/>
    <w:tmpl w:val="A15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F3B26"/>
    <w:multiLevelType w:val="multilevel"/>
    <w:tmpl w:val="A8CA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72E0E"/>
    <w:multiLevelType w:val="multilevel"/>
    <w:tmpl w:val="126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516F7"/>
    <w:multiLevelType w:val="multilevel"/>
    <w:tmpl w:val="917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038BA"/>
    <w:multiLevelType w:val="multilevel"/>
    <w:tmpl w:val="F48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267D0"/>
    <w:multiLevelType w:val="multilevel"/>
    <w:tmpl w:val="E756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16A5C"/>
    <w:multiLevelType w:val="multilevel"/>
    <w:tmpl w:val="1CD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50CF3"/>
    <w:multiLevelType w:val="multilevel"/>
    <w:tmpl w:val="F13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B11DC"/>
    <w:multiLevelType w:val="multilevel"/>
    <w:tmpl w:val="A61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07489"/>
    <w:multiLevelType w:val="multilevel"/>
    <w:tmpl w:val="EF0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E0550"/>
    <w:multiLevelType w:val="multilevel"/>
    <w:tmpl w:val="0D7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02B99"/>
    <w:multiLevelType w:val="multilevel"/>
    <w:tmpl w:val="805E0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35486"/>
    <w:multiLevelType w:val="multilevel"/>
    <w:tmpl w:val="BE1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F352D"/>
    <w:multiLevelType w:val="multilevel"/>
    <w:tmpl w:val="8B362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0400D"/>
    <w:multiLevelType w:val="multilevel"/>
    <w:tmpl w:val="C296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F3FCC"/>
    <w:multiLevelType w:val="multilevel"/>
    <w:tmpl w:val="919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F41FB"/>
    <w:multiLevelType w:val="multilevel"/>
    <w:tmpl w:val="06A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70026"/>
    <w:multiLevelType w:val="multilevel"/>
    <w:tmpl w:val="D95E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B4B72"/>
    <w:multiLevelType w:val="multilevel"/>
    <w:tmpl w:val="184EE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6171C"/>
    <w:multiLevelType w:val="multilevel"/>
    <w:tmpl w:val="84264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00DF5"/>
    <w:multiLevelType w:val="multilevel"/>
    <w:tmpl w:val="42C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164C"/>
    <w:multiLevelType w:val="multilevel"/>
    <w:tmpl w:val="37D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51CCB"/>
    <w:multiLevelType w:val="multilevel"/>
    <w:tmpl w:val="A0209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A1059"/>
    <w:multiLevelType w:val="multilevel"/>
    <w:tmpl w:val="D668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8"/>
  </w:num>
  <w:num w:numId="3">
    <w:abstractNumId w:val="6"/>
  </w:num>
  <w:num w:numId="4">
    <w:abstractNumId w:val="17"/>
  </w:num>
  <w:num w:numId="5">
    <w:abstractNumId w:val="10"/>
  </w:num>
  <w:num w:numId="6">
    <w:abstractNumId w:val="7"/>
  </w:num>
  <w:num w:numId="7">
    <w:abstractNumId w:val="12"/>
  </w:num>
  <w:num w:numId="8">
    <w:abstractNumId w:val="15"/>
  </w:num>
  <w:num w:numId="9">
    <w:abstractNumId w:val="9"/>
  </w:num>
  <w:num w:numId="10">
    <w:abstractNumId w:val="23"/>
  </w:num>
  <w:num w:numId="11">
    <w:abstractNumId w:val="5"/>
  </w:num>
  <w:num w:numId="12">
    <w:abstractNumId w:val="13"/>
  </w:num>
  <w:num w:numId="13">
    <w:abstractNumId w:val="22"/>
  </w:num>
  <w:num w:numId="14">
    <w:abstractNumId w:val="1"/>
  </w:num>
  <w:num w:numId="15">
    <w:abstractNumId w:val="14"/>
  </w:num>
  <w:num w:numId="16">
    <w:abstractNumId w:val="25"/>
  </w:num>
  <w:num w:numId="17">
    <w:abstractNumId w:val="2"/>
  </w:num>
  <w:num w:numId="18">
    <w:abstractNumId w:val="11"/>
  </w:num>
  <w:num w:numId="19">
    <w:abstractNumId w:val="0"/>
  </w:num>
  <w:num w:numId="20">
    <w:abstractNumId w:val="3"/>
  </w:num>
  <w:num w:numId="21">
    <w:abstractNumId w:val="26"/>
  </w:num>
  <w:num w:numId="22">
    <w:abstractNumId w:val="16"/>
  </w:num>
  <w:num w:numId="23">
    <w:abstractNumId w:val="4"/>
  </w:num>
  <w:num w:numId="24">
    <w:abstractNumId w:val="20"/>
  </w:num>
  <w:num w:numId="25">
    <w:abstractNumId w:val="19"/>
  </w:num>
  <w:num w:numId="26">
    <w:abstractNumId w:val="24"/>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78F"/>
    <w:rsid w:val="0006781A"/>
    <w:rsid w:val="0009178F"/>
    <w:rsid w:val="000C01A7"/>
    <w:rsid w:val="00155006"/>
    <w:rsid w:val="0060464A"/>
    <w:rsid w:val="007D1AC5"/>
    <w:rsid w:val="00C3337D"/>
    <w:rsid w:val="00DB48D5"/>
    <w:rsid w:val="00DD06EB"/>
    <w:rsid w:val="00E12EB8"/>
    <w:rsid w:val="00F22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B64F"/>
  <w15:chartTrackingRefBased/>
  <w15:docId w15:val="{0EC2275B-3E29-4E4F-9669-4829CC9F8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paragraph" w:styleId="Ttulo1">
    <w:name w:val="heading 1"/>
    <w:basedOn w:val="Normal"/>
    <w:link w:val="Ttulo1Car"/>
    <w:uiPriority w:val="9"/>
    <w:qFormat/>
    <w:rsid w:val="0009178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2">
    <w:name w:val="heading 2"/>
    <w:basedOn w:val="Normal"/>
    <w:next w:val="Normal"/>
    <w:link w:val="Ttulo2Car"/>
    <w:uiPriority w:val="9"/>
    <w:unhideWhenUsed/>
    <w:qFormat/>
    <w:rsid w:val="000917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0917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178F"/>
    <w:rPr>
      <w:rFonts w:ascii="Times New Roman" w:eastAsia="Times New Roman" w:hAnsi="Times New Roman" w:cs="Times New Roman"/>
      <w:b/>
      <w:bCs/>
      <w:kern w:val="36"/>
      <w:sz w:val="48"/>
      <w:szCs w:val="48"/>
    </w:rPr>
  </w:style>
  <w:style w:type="character" w:styleId="Textoennegrita">
    <w:name w:val="Strong"/>
    <w:basedOn w:val="Fuentedeprrafopredeter"/>
    <w:uiPriority w:val="22"/>
    <w:qFormat/>
    <w:rsid w:val="0009178F"/>
    <w:rPr>
      <w:b/>
      <w:bCs/>
    </w:rPr>
  </w:style>
  <w:style w:type="paragraph" w:styleId="NormalWeb">
    <w:name w:val="Normal (Web)"/>
    <w:basedOn w:val="Normal"/>
    <w:uiPriority w:val="99"/>
    <w:unhideWhenUsed/>
    <w:rsid w:val="000917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tulo2Car">
    <w:name w:val="Título 2 Car"/>
    <w:basedOn w:val="Fuentedeprrafopredeter"/>
    <w:link w:val="Ttulo2"/>
    <w:uiPriority w:val="9"/>
    <w:rsid w:val="0009178F"/>
    <w:rPr>
      <w:rFonts w:asciiTheme="majorHAnsi" w:eastAsiaTheme="majorEastAsia" w:hAnsiTheme="majorHAnsi" w:cstheme="majorBidi"/>
      <w:color w:val="2E74B5" w:themeColor="accent1" w:themeShade="BF"/>
      <w:sz w:val="26"/>
      <w:szCs w:val="26"/>
      <w:lang w:val="es-AR"/>
    </w:rPr>
  </w:style>
  <w:style w:type="character" w:customStyle="1" w:styleId="Ttulo3Car">
    <w:name w:val="Título 3 Car"/>
    <w:basedOn w:val="Fuentedeprrafopredeter"/>
    <w:link w:val="Ttulo3"/>
    <w:uiPriority w:val="9"/>
    <w:semiHidden/>
    <w:rsid w:val="0009178F"/>
    <w:rPr>
      <w:rFonts w:asciiTheme="majorHAnsi" w:eastAsiaTheme="majorEastAsia" w:hAnsiTheme="majorHAnsi" w:cstheme="majorBidi"/>
      <w:color w:val="1F4D78" w:themeColor="accent1" w:themeShade="7F"/>
      <w:sz w:val="24"/>
      <w:szCs w:val="24"/>
      <w:lang w:val="es-AR"/>
    </w:rPr>
  </w:style>
  <w:style w:type="character" w:styleId="CdigoHTML">
    <w:name w:val="HTML Code"/>
    <w:basedOn w:val="Fuentedeprrafopredeter"/>
    <w:uiPriority w:val="99"/>
    <w:semiHidden/>
    <w:unhideWhenUsed/>
    <w:rsid w:val="007D1AC5"/>
    <w:rPr>
      <w:rFonts w:ascii="Courier New" w:eastAsia="Times New Roman" w:hAnsi="Courier New" w:cs="Courier New"/>
      <w:sz w:val="20"/>
      <w:szCs w:val="20"/>
    </w:rPr>
  </w:style>
  <w:style w:type="character" w:styleId="nfasis">
    <w:name w:val="Emphasis"/>
    <w:basedOn w:val="Fuentedeprrafopredeter"/>
    <w:uiPriority w:val="20"/>
    <w:qFormat/>
    <w:rsid w:val="00DB48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168889">
      <w:bodyDiv w:val="1"/>
      <w:marLeft w:val="0"/>
      <w:marRight w:val="0"/>
      <w:marTop w:val="0"/>
      <w:marBottom w:val="0"/>
      <w:divBdr>
        <w:top w:val="none" w:sz="0" w:space="0" w:color="auto"/>
        <w:left w:val="none" w:sz="0" w:space="0" w:color="auto"/>
        <w:bottom w:val="none" w:sz="0" w:space="0" w:color="auto"/>
        <w:right w:val="none" w:sz="0" w:space="0" w:color="auto"/>
      </w:divBdr>
    </w:div>
    <w:div w:id="827598228">
      <w:bodyDiv w:val="1"/>
      <w:marLeft w:val="0"/>
      <w:marRight w:val="0"/>
      <w:marTop w:val="0"/>
      <w:marBottom w:val="0"/>
      <w:divBdr>
        <w:top w:val="none" w:sz="0" w:space="0" w:color="auto"/>
        <w:left w:val="none" w:sz="0" w:space="0" w:color="auto"/>
        <w:bottom w:val="none" w:sz="0" w:space="0" w:color="auto"/>
        <w:right w:val="none" w:sz="0" w:space="0" w:color="auto"/>
      </w:divBdr>
    </w:div>
    <w:div w:id="901329825">
      <w:bodyDiv w:val="1"/>
      <w:marLeft w:val="0"/>
      <w:marRight w:val="0"/>
      <w:marTop w:val="0"/>
      <w:marBottom w:val="0"/>
      <w:divBdr>
        <w:top w:val="none" w:sz="0" w:space="0" w:color="auto"/>
        <w:left w:val="none" w:sz="0" w:space="0" w:color="auto"/>
        <w:bottom w:val="none" w:sz="0" w:space="0" w:color="auto"/>
        <w:right w:val="none" w:sz="0" w:space="0" w:color="auto"/>
      </w:divBdr>
    </w:div>
    <w:div w:id="1084493666">
      <w:bodyDiv w:val="1"/>
      <w:marLeft w:val="0"/>
      <w:marRight w:val="0"/>
      <w:marTop w:val="0"/>
      <w:marBottom w:val="0"/>
      <w:divBdr>
        <w:top w:val="none" w:sz="0" w:space="0" w:color="auto"/>
        <w:left w:val="none" w:sz="0" w:space="0" w:color="auto"/>
        <w:bottom w:val="none" w:sz="0" w:space="0" w:color="auto"/>
        <w:right w:val="none" w:sz="0" w:space="0" w:color="auto"/>
      </w:divBdr>
    </w:div>
    <w:div w:id="1635410577">
      <w:bodyDiv w:val="1"/>
      <w:marLeft w:val="0"/>
      <w:marRight w:val="0"/>
      <w:marTop w:val="0"/>
      <w:marBottom w:val="0"/>
      <w:divBdr>
        <w:top w:val="none" w:sz="0" w:space="0" w:color="auto"/>
        <w:left w:val="none" w:sz="0" w:space="0" w:color="auto"/>
        <w:bottom w:val="none" w:sz="0" w:space="0" w:color="auto"/>
        <w:right w:val="none" w:sz="0" w:space="0" w:color="auto"/>
      </w:divBdr>
    </w:div>
    <w:div w:id="176595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09498-3EA7-4E24-865F-E80FFA2B3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661</Words>
  <Characters>3770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2025-05-26T22:02:00Z</dcterms:created>
  <dcterms:modified xsi:type="dcterms:W3CDTF">2025-05-27T14:06:00Z</dcterms:modified>
</cp:coreProperties>
</file>