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44B" w:rsidRPr="008D344B" w:rsidRDefault="008D344B" w:rsidP="00830964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36"/>
          <w:szCs w:val="36"/>
          <w:lang w:eastAsia="pt-BR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t>Debates e ideias da estrutura do orçamento e o valor real do déficit</w:t>
      </w:r>
    </w:p>
    <w:p w:rsidR="008D344B" w:rsidRDefault="008D344B" w:rsidP="0083096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D344B" w:rsidRDefault="00830964" w:rsidP="00830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4C99E49" wp14:editId="75CA45DC">
            <wp:extent cx="9666892" cy="53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846" cy="53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B" w:rsidRDefault="008D344B" w:rsidP="008D344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7" w:history="1">
        <w:r w:rsidRPr="00940FBE">
          <w:rPr>
            <w:rStyle w:val="Hyperlink"/>
            <w:rFonts w:ascii="Times New Roman" w:hAnsi="Times New Roman" w:cs="Times New Roman"/>
            <w:sz w:val="24"/>
            <w:szCs w:val="24"/>
          </w:rPr>
          <w:t>http://www.aeplan.unicamp.br/medidas_contencao/2016/orcamento_2016-contecao_despesas.pdf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slide </w:t>
      </w: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:rsidR="00830964" w:rsidRPr="00830964" w:rsidRDefault="00830964" w:rsidP="00830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Reflexão: se a expectativa de redução é de 40 milhões, então aqueles dados da apresentação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Fracalanza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Saldos a honrar, Despesas atualizadas projetas e a posição em 31/12/2015 não devem ser consideradas no contingenciamento, certo? Porque se elas forem consideradas, a situação inicial já era caótica no orçamento.</w:t>
      </w:r>
      <w:bookmarkStart w:id="0" w:name="_GoBack"/>
      <w:bookmarkEnd w:id="0"/>
    </w:p>
    <w:sectPr w:rsidR="00830964" w:rsidRPr="00830964" w:rsidSect="008309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964"/>
    <w:rsid w:val="001824C2"/>
    <w:rsid w:val="00830964"/>
    <w:rsid w:val="008D344B"/>
    <w:rsid w:val="00A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D34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D34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eplan.unicamp.br/medidas_contencao/2016/orcamento_2016-contecao_despesa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01CF9-E873-40C4-BF6A-93626B1F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Thomáz Ortiz</dc:creator>
  <cp:lastModifiedBy>Thomáz Ortiz</cp:lastModifiedBy>
  <cp:revision>1</cp:revision>
  <dcterms:created xsi:type="dcterms:W3CDTF">2016-05-12T13:55:00Z</dcterms:created>
  <dcterms:modified xsi:type="dcterms:W3CDTF">2016-05-12T14:08:00Z</dcterms:modified>
</cp:coreProperties>
</file>