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Grupo: </w:t>
      </w:r>
      <w:r w:rsidDel="00000000" w:rsidR="00000000" w:rsidRPr="00000000">
        <w:rPr>
          <w:rtl w:val="0"/>
        </w:rPr>
        <w:t xml:space="preserve">Alex Marques, Mateus Evangelista, João Comini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SCRUM BOARD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SCRUM POKER - HORÁRIO: 20:44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731200" cy="2641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RF06 - 13 pontos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731200" cy="2628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RF08 - 13 pontos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731200" cy="2616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TABELA RESUMO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700"/>
        <w:gridCol w:w="1200"/>
        <w:gridCol w:w="1000"/>
        <w:gridCol w:w="1000"/>
        <w:gridCol w:w="1500"/>
        <w:tblGridChange w:id="0">
          <w:tblGrid>
            <w:gridCol w:w="800"/>
            <w:gridCol w:w="3700"/>
            <w:gridCol w:w="1200"/>
            <w:gridCol w:w="1000"/>
            <w:gridCol w:w="10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 curta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Cadastro de motoristas/motoboys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Cadastro de gerentes/coordenadores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.14062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Cadastro de 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Mateus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Montagem do roteiro diário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Registro de chegada 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Mateus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Cálculo do tempo parado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Histórico por período com endereços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Mateus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Dashboard por dia, mês e 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Parametrização de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Regras do tempo parado e jornada de 8 h/dia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Mateus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Custo estimado do roteiro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Exportação de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REFLEXÃO DA EQUIPE</w:t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  <w:t xml:space="preserve">As duas histórias que exigiram maior debate técnico e divergência de estimativa no time foram o RF06 (Cálculo automático do tempo parado) e o RF08 (Dashboard com gráficos e métricas).  No RF06, o time debateu se o tempo parado seria capturado por rastreamento via GPS em tempo real com cercas virtuais ou via acionamento manual de chegada e saída pelo motorista no aplicativo. No RF08, a dúvida recaiu sobre a estratégia técnica para processar o volume de dados de até 12 meses e renderizar os gráficos no painel em menos de 3 segundos. O consenso do RF06 veio ao definir o registro manual com regras de validação no aplicativo como escopo do MVP, enquanto para o RF08 combinou-se o uso de visões agregadas e cache no banco de dados para garantir alta performance.</w:t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