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14:paraId="00AA0001">
      <w:pPr>
        <w:spacing w:after="40" w:line="276" w:lineRule="auto"/>
        <w:jc w:val="left"/>
      </w:pPr>
      <w:r>
        <w:rPr>
          <w:rFonts w:ascii="Arial" w:cs="Arial" w:hAnsi="Arial"/>
          <w:b w:val="1"/>
          <w:sz w:val="20"/>
          <w:szCs w:val="20"/>
        </w:rPr>
        <w:t xml:space="preserve">Aluno:</w:t>
      </w:r>
      <w:r>
        <w:rPr>
          <w:rFonts w:ascii="Arial" w:cs="Arial" w:hAnsi="Arial"/>
          <w:sz w:val="20"/>
          <w:szCs w:val="20"/>
        </w:rPr>
        <w:t xml:space="preserve"> João Comini César de Andrade</w:t>
      </w:r>
    </w:p>
    <w:p w:rsidR="00000000" w14:paraId="00AA0002">
      <w:pPr>
        <w:spacing w:after="120" w:line="276" w:lineRule="auto"/>
        <w:jc w:val="left"/>
      </w:pPr>
      <w:r>
        <w:rPr>
          <w:rFonts w:ascii="Arial" w:cs="Arial" w:hAnsi="Arial"/>
          <w:b w:val="1"/>
          <w:sz w:val="20"/>
          <w:szCs w:val="20"/>
        </w:rPr>
        <w:t xml:space="preserve">Disciplina:</w:t>
      </w:r>
      <w:r>
        <w:rPr>
          <w:rFonts w:ascii="Arial" w:cs="Arial" w:hAnsi="Arial"/>
          <w:sz w:val="20"/>
          <w:szCs w:val="20"/>
        </w:rPr>
        <w:t xml:space="preserve"> Modelagem e Avaliação de Desempenho — Exercício 2</w:t>
      </w:r>
    </w:p>
    <w:p w:rsidR="00000000" w:rsidDel="00000000" w:rsidP="00000000" w:rsidRDefault="00000000" w:rsidRPr="00000000" w14:paraId="00000001">
      <w:pPr>
        <w:pBdr>
          <w:bottom w:color="000000" w:space="1" w:sz="6" w:val="single"/>
        </w:pBdr>
        <w:spacing w:after="30" w:line="360" w:lineRule="auto"/>
        <w:rPr>
          <w:sz w:val="24"/>
          <w:szCs w:val="24"/>
        </w:rPr>
      </w:pPr>
      <w:r>
        <w:rPr>
          <w:b w:val="1"/>
          <w:bCs w:val="1"/>
          <w:sz w:val="38"/>
          <w:szCs w:val="38"/>
          <w:rtl w:val="0"/>
        </w:rPr>
        <w:t xml:space="preserve">ConsultaAI </w:t>
      </w:r>
      <w:r>
        <w:rPr>
          <w:rFonts w:ascii="Arial" w:cs="Arial" w:eastAsia="Arial" w:hAnsi="Arial"/>
          <w:b w:val="0"/>
          <w:bCs w:val="0"/>
          <w:color w:val="333333"/>
          <w:sz w:val="32"/>
          <w:szCs w:val="32"/>
          <w:rtl w:val="0"/>
        </w:rPr>
        <w:t xml:space="preserve">— Planejamento de Capacidade em Nuvem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360" w:lineRule="auto"/>
        <w:rPr>
          <w:sz w:val="24"/>
          <w:szCs w:val="24"/>
        </w:rPr>
      </w:pPr>
      <w:r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Definição e Otimização de SLAs para Infraestrutura Cloud  |  Budget: R$ 20.000,00/mês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hd w:fill="666666" w:val="clear"/>
        <w:spacing w:after="80" w:before="160" w:line="360" w:lineRule="auto"/>
        <w:ind w:left="100" w:firstLine="0"/>
        <w:rPr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Empresa — </w:t>
      </w:r>
      <w:r>
        <w:rPr>
          <w:b w:val="1"/>
          <w:bCs w:val="1"/>
          <w:color w:val="ffffff"/>
          <w:sz w:val="28"/>
          <w:szCs w:val="28"/>
          <w:rtl w:val="0"/>
        </w:rPr>
        <w:t xml:space="preserve">ConsultaAI </w:t>
      </w:r>
      <w:r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Telemedicina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50" w:line="360" w:lineRule="auto"/>
        <w:jc w:val="both"/>
        <w:rPr>
          <w:sz w:val="24"/>
          <w:szCs w:val="24"/>
        </w:rPr>
      </w:pP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A </w:t>
      </w:r>
      <w:r>
        <w:rPr>
          <w:color w:val="111111"/>
          <w:sz w:val="24"/>
          <w:szCs w:val="24"/>
          <w:rtl w:val="0"/>
        </w:rPr>
        <w:t xml:space="preserve">ConsultaAI </w:t>
      </w: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é uma startup brasileira de telemedicina, com sede em Belo Horizonte-MG, que conecta pacientes a médicos via consultas por vídeo, chat e telemonitoramento de sinais vitais</w:t>
      </w:r>
      <w:r>
        <w:rPr>
          <w:color w:val="111111"/>
          <w:sz w:val="24"/>
          <w:szCs w:val="24"/>
          <w:rtl w:val="0"/>
        </w:rPr>
        <w:t xml:space="preserve">, </w:t>
      </w: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operando 24/7. Com 300 clínicas parceiras e 80.000 usuários ativos mensais, projeta crescimento de 40% ao ano. A migração para a nuvem é motivada pela necessidade de elasticidade, resiliência, conformidade com LGPD/ANS e redução de capex.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50" w:line="360" w:lineRule="auto"/>
        <w:jc w:val="both"/>
        <w:rPr>
          <w:sz w:val="24"/>
          <w:szCs w:val="24"/>
        </w:rPr>
      </w:pP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Perfil de carga: 10 milhões de requisições/mês, picos de até 60 req/s nos horários de maior demanda (8h–12h e 17h–20h). O caráter crítico do serviço de saúde exige alta disponibilidade</w:t>
      </w:r>
      <w:r>
        <w:rPr>
          <w:color w:val="111111"/>
          <w:sz w:val="24"/>
          <w:szCs w:val="24"/>
          <w:rtl w:val="0"/>
        </w:rPr>
        <w:t xml:space="preserve"> e </w:t>
      </w: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indisponibilidade representa risco direto ao paciente.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hd w:fill="666666" w:val="clear"/>
        <w:spacing w:after="80" w:before="160" w:line="360" w:lineRule="auto"/>
        <w:ind w:left="100" w:firstLine="0"/>
        <w:rPr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SLAs Recomendados e Justificativas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50" w:line="360" w:lineRule="auto"/>
        <w:jc w:val="both"/>
        <w:rPr>
          <w:sz w:val="24"/>
          <w:szCs w:val="24"/>
        </w:rPr>
      </w:pP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A estratégia adotou leve priorização da disponibilidade (wa=0,40) frente ao tempo de resposta e taxa de processamento (wr=wx=0,30), refletindo o perfil crítico de saúde digital. A função de utilidade da ferramenta SOLVER_MAD é: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hd w:fill="d9d9d9" w:val="clear"/>
        <w:spacing w:after="60" w:before="60" w:line="360" w:lineRule="auto"/>
        <w:ind w:left="200" w:right="200" w:firstLine="0"/>
        <w:jc w:val="center"/>
        <w:rPr>
          <w:sz w:val="24"/>
          <w:szCs w:val="24"/>
        </w:rPr>
      </w:pPr>
      <w:r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U = wr·[2·e^(-SLAr)/(1+e^(-SLAr))] + wx·[1−e^(−0,1·SLAx)] + wa·[10·SLAa−9]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50" w:line="360" w:lineRule="auto"/>
        <w:rPr>
          <w:sz w:val="24"/>
          <w:szCs w:val="24"/>
        </w:rPr>
      </w:pPr>
      <w:r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300"/>
        <w:gridCol w:w="1600"/>
        <w:gridCol w:w="4300"/>
        <w:tblGridChange w:id="0">
          <w:tblGrid>
            <w:gridCol w:w="2000"/>
            <w:gridCol w:w="1300"/>
            <w:gridCol w:w="1600"/>
            <w:gridCol w:w="4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Parâmetro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Valor SLA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Tier de Custo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Justificativa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Tempo Resposta (SLAr)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2 segundos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R$0,027/1k req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Consultas médicas toleram até 2s; abaixo disso o custo dobra sem ganho perceptível.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Taxa Processamento (SLAx)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60 req/s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R$0,015/1k req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Pico estimado de 50–60 conexões simultâneas; margem de 20% para estabilidade.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Disponibilidade (SLAa)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99,9%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Premium +R$0,69/1k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Serviço de saúde crítico — máx. 8,7h de indisponibilidade/ano tolerável.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line="36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50" w:line="360" w:lineRule="auto"/>
        <w:jc w:val="both"/>
        <w:rPr>
          <w:sz w:val="24"/>
          <w:szCs w:val="24"/>
        </w:rPr>
      </w:pP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Com SLAr=2s, SLAx=60 req/s e SLAa=99,9%, a utilidade resultante é U=0,7668 — 9,5% acima do limiar mínimo de 0,70 definido para serviços de saúde digital.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hd w:fill="666666" w:val="clear"/>
        <w:spacing w:after="80" w:before="160" w:line="360" w:lineRule="auto"/>
        <w:ind w:left="100" w:firstLine="0"/>
        <w:rPr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Estimativa de Custos de Mercado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50" w:line="360" w:lineRule="auto"/>
        <w:jc w:val="both"/>
        <w:rPr>
          <w:sz w:val="24"/>
          <w:szCs w:val="24"/>
        </w:rPr>
      </w:pP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Tarifas baseadas em tabelas públicas de AWS/GCP/Azure para a região sa-east-1 (Brasil), referência 2025. O custo total de R$18.607/mês representa 93% do orçamento, mantendo reserva técnica de ~R$1.393 (7%) para variações de tráfego.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50" w:line="360" w:lineRule="auto"/>
        <w:rPr>
          <w:sz w:val="24"/>
          <w:szCs w:val="24"/>
        </w:rPr>
      </w:pPr>
      <w:r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900"/>
        <w:gridCol w:w="2000"/>
        <w:gridCol w:w="2300"/>
        <w:tblGridChange w:id="0">
          <w:tblGrid>
            <w:gridCol w:w="3000"/>
            <w:gridCol w:w="1900"/>
            <w:gridCol w:w="2000"/>
            <w:gridCol w:w="2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Item de Custo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Tarifa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Volume Mensal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Custo/Mês (R$)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Compute </w:t>
            </w:r>
            <w:r>
              <w:rPr>
                <w:color w:val="111111"/>
                <w:sz w:val="23"/>
                <w:szCs w:val="23"/>
                <w:rtl w:val="0"/>
              </w:rPr>
              <w:t xml:space="preserve">-&gt; </w:t>
            </w: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SLAr=2s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R$0,000027/req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10.000.000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R$ 2.707,00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Throughput </w:t>
            </w:r>
            <w:r>
              <w:rPr>
                <w:color w:val="111111"/>
                <w:sz w:val="23"/>
                <w:szCs w:val="23"/>
                <w:rtl w:val="0"/>
              </w:rPr>
              <w:t xml:space="preserve">-&gt;</w:t>
            </w: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 SLAx=60 req/s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R$0,0015/req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10.000.000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R$ 9.000,00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Disponibilidade = 99,9%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R$0,00069/req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10.000.000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R$ 6.900,00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d9d9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111111"/>
                <w:sz w:val="23"/>
                <w:szCs w:val="23"/>
                <w:rtl w:val="0"/>
              </w:rPr>
              <w:t xml:space="preserve">TOTAL / SALDO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d9d9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d9d9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Budget: R$20.000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d9d9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11111"/>
                <w:sz w:val="23"/>
                <w:szCs w:val="23"/>
                <w:rtl w:val="0"/>
              </w:rPr>
              <w:t xml:space="preserve">R$18.607 ✓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hd w:fill="666666" w:val="clear"/>
        <w:spacing w:after="80" w:before="160" w:line="360" w:lineRule="auto"/>
        <w:ind w:left="100" w:firstLine="0"/>
        <w:rPr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Simulações e Análise Comparativa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50" w:line="360" w:lineRule="auto"/>
        <w:jc w:val="both"/>
        <w:rPr>
          <w:sz w:val="24"/>
          <w:szCs w:val="24"/>
        </w:rPr>
      </w:pP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Foram executadas quatro </w:t>
      </w:r>
      <w:r>
        <w:rPr>
          <w:color w:val="111111"/>
          <w:sz w:val="24"/>
          <w:szCs w:val="24"/>
          <w:rtl w:val="0"/>
        </w:rPr>
        <w:t xml:space="preserve">diferentes situações </w:t>
      </w:r>
      <w:r>
        <w:rPr>
          <w:rFonts w:ascii="Arial Unicode MS" w:cs="Arial Unicode MS" w:eastAsia="Arial Unicode MS" w:hAnsi="Arial Unicode MS"/>
          <w:b w:val="0"/>
          <w:bCs w:val="0"/>
          <w:color w:val="111111"/>
          <w:sz w:val="24"/>
          <w:szCs w:val="24"/>
          <w:rtl w:val="0"/>
        </w:rPr>
        <w:t xml:space="preserve">de simulação na ferramenta SOLVER_MAD, variando os parâmetros de SLA e os pesos da função utilidade. A tabela abaixo compara os cenários com pesos equalizados (wr=wx=wa=1/3) para comparação justa. (* Custo em unidade normalizada da planilha; limite orçamentário ≈ 2,0.)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spacing w:after="50" w:line="360" w:lineRule="auto"/>
        <w:rPr>
          <w:sz w:val="24"/>
          <w:szCs w:val="24"/>
        </w:rPr>
      </w:pPr>
      <w:r>
        <w:rPr>
          <w:rtl w:val="0"/>
        </w:rPr>
      </w:r>
    </w:p>
    <w:tbl>
      <w:tblPr>
        <w:tblStyle w:val="Table3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00"/>
        <w:gridCol w:w="700"/>
        <w:gridCol w:w="900"/>
        <w:gridCol w:w="900"/>
        <w:gridCol w:w="900"/>
        <w:gridCol w:w="1600"/>
        <w:tblGridChange w:id="0">
          <w:tblGrid>
            <w:gridCol w:w="2500"/>
            <w:gridCol w:w="700"/>
            <w:gridCol w:w="700"/>
            <w:gridCol w:w="900"/>
            <w:gridCol w:w="900"/>
            <w:gridCol w:w="9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Cenário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SLAr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SLAx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SLAa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Utilidade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Custo*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Decisão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Base (planilha)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1 s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50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99,0%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0,8104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1,3311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Referência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Prio. Disponibilidade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3 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30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99,9%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0,7563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0,5039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Descartado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Prio. Tempo de Resposta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1 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40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99,0%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0,7394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1,2311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Descartado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Prio. Taxa de Processamento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3 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90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90,0%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0,5237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0,9996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Descartado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Balanceado Otimizado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1 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100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99,9%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0,8426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1,8401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Custo alto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d9d9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111111"/>
                <w:sz w:val="23"/>
                <w:szCs w:val="23"/>
                <w:rtl w:val="0"/>
              </w:rPr>
              <w:t xml:space="preserve">★ RECOMENDADO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d9d9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2 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d9d9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60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d9d9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99,9%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d9d9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0,7668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d9d9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0,9750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d9d9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111111"/>
                <w:sz w:val="23"/>
                <w:szCs w:val="23"/>
                <w:rtl w:val="0"/>
              </w:rPr>
              <w:t xml:space="preserve">Escolhido ✓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60" w:line="36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8">
      <w:pPr>
        <w:spacing w:after="50" w:line="360" w:lineRule="auto"/>
        <w:jc w:val="both"/>
        <w:rPr>
          <w:sz w:val="24"/>
          <w:szCs w:val="24"/>
        </w:rPr>
      </w:pP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Simulação 1</w:t>
      </w:r>
      <w:r>
        <w:rPr>
          <w:color w:val="111111"/>
          <w:sz w:val="24"/>
          <w:szCs w:val="24"/>
          <w:rtl w:val="0"/>
        </w:rPr>
        <w:t xml:space="preserve">: </w:t>
      </w: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Disponibilidade: wa=0,50 melhora SLAa=99,9% mas reduz utilidade global ao elevar SLAr para compensar custo. Adequado a serviços insensíveis a latência.</w:t>
      </w:r>
      <w:r>
        <w:rPr>
          <w:rtl w:val="0"/>
        </w:rPr>
      </w:r>
    </w:p>
    <w:p w:rsidR="00000000" w:rsidDel="00000000" w:rsidP="00000000" w:rsidRDefault="00000000" w:rsidRPr="00000000" w14:paraId="00000069">
      <w:pPr>
        <w:spacing w:after="50" w:line="360" w:lineRule="auto"/>
        <w:jc w:val="both"/>
        <w:rPr>
          <w:sz w:val="24"/>
          <w:szCs w:val="24"/>
        </w:rPr>
      </w:pP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Simulação 2</w:t>
      </w:r>
      <w:r>
        <w:rPr>
          <w:color w:val="111111"/>
          <w:sz w:val="24"/>
          <w:szCs w:val="24"/>
          <w:rtl w:val="0"/>
        </w:rPr>
        <w:t xml:space="preserve">:</w:t>
      </w: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 Tempo de Resposta: SLAr=1s eleva custo para C=1,23 sem ganho proporcional </w:t>
      </w:r>
      <w:r>
        <w:rPr>
          <w:color w:val="111111"/>
          <w:sz w:val="24"/>
          <w:szCs w:val="24"/>
          <w:rtl w:val="0"/>
        </w:rPr>
        <w:t xml:space="preserve">e</w:t>
      </w: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 a função utilidade satura rapidamente abaixo de 2s.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spacing w:after="50" w:line="360" w:lineRule="auto"/>
        <w:jc w:val="both"/>
        <w:rPr>
          <w:sz w:val="24"/>
          <w:szCs w:val="24"/>
        </w:rPr>
      </w:pP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Simulação 3</w:t>
      </w:r>
      <w:r>
        <w:rPr>
          <w:color w:val="111111"/>
          <w:sz w:val="24"/>
          <w:szCs w:val="24"/>
          <w:rtl w:val="0"/>
        </w:rPr>
        <w:t xml:space="preserve">:</w:t>
      </w: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 Taxa de Processamento: SLAx=90 req/s gera custo elevado com retorno marginal. Para o perfil atual da MedConnect, throughput acima de 60 req/s é desnecessário.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spacing w:after="50" w:line="360" w:lineRule="auto"/>
        <w:jc w:val="both"/>
        <w:rPr>
          <w:sz w:val="24"/>
          <w:szCs w:val="24"/>
        </w:rPr>
      </w:pP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Simulação</w:t>
      </w:r>
      <w:r>
        <w:rPr>
          <w:color w:val="111111"/>
          <w:sz w:val="24"/>
          <w:szCs w:val="24"/>
          <w:rtl w:val="0"/>
        </w:rPr>
        <w:t xml:space="preserve"> </w:t>
      </w: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4</w:t>
      </w:r>
      <w:r>
        <w:rPr>
          <w:color w:val="111111"/>
          <w:sz w:val="24"/>
          <w:szCs w:val="24"/>
          <w:rtl w:val="0"/>
        </w:rPr>
        <w:t xml:space="preserve">: </w:t>
      </w: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Balanceado Otimizado: máxima utilidade (U=0,8426) com SLAr=1s+SLAx=100+SLAa=99,9%, mas custo C=1,84 esgota quase todo o orçamento sem margem de segurança.</w:t>
      </w:r>
      <w:r>
        <w:rPr>
          <w:rtl w:val="0"/>
        </w:rPr>
      </w:r>
    </w:p>
    <w:p w:rsidR="00000000" w:rsidDel="00000000" w:rsidP="00000000" w:rsidRDefault="00000000" w:rsidRPr="00000000" w14:paraId="0000006C">
      <w:pPr>
        <w:shd w:fill="666666" w:val="clear"/>
        <w:spacing w:after="80" w:before="160" w:line="360" w:lineRule="auto"/>
        <w:ind w:left="100" w:firstLine="0"/>
        <w:rPr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5. Conclusão</w:t>
      </w:r>
      <w:r>
        <w:rPr>
          <w:rtl w:val="0"/>
        </w:rPr>
      </w:r>
    </w:p>
    <w:p w:rsidR="00000000" w:rsidDel="00000000" w:rsidP="00000000" w:rsidRDefault="00000000" w:rsidRPr="00000000" w14:paraId="0000006D">
      <w:pPr>
        <w:spacing w:after="50" w:line="360" w:lineRule="auto"/>
        <w:jc w:val="both"/>
        <w:rPr>
          <w:sz w:val="24"/>
          <w:szCs w:val="24"/>
        </w:rPr>
      </w:pP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O cenário recomendado </w:t>
      </w:r>
      <w:r>
        <w:rPr>
          <w:color w:val="111111"/>
          <w:sz w:val="24"/>
          <w:szCs w:val="24"/>
          <w:rtl w:val="0"/>
        </w:rPr>
        <w:t xml:space="preserve">tem as seguintes medidas, </w:t>
      </w: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SLAr=2s, SLAx=60 req/s, SLAa=99,9%</w:t>
      </w:r>
      <w:r>
        <w:rPr>
          <w:color w:val="111111"/>
          <w:sz w:val="24"/>
          <w:szCs w:val="24"/>
          <w:rtl w:val="0"/>
        </w:rPr>
        <w:t xml:space="preserve">. Este cenário </w:t>
      </w:r>
      <w:r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entrega a melhor relação custo-utilidade: U=0,7668 com custo normalizado C=0,9750, redução de 26,7% em relação à base da planilha com perda de apenas 5,4% de utilidade. O custo mensal estimado de R$18.607,00 fica dentro do budget de R$20.000,00, com reserva técnica de 7%. A ênfase em disponibilidade (99,9%) justifica-se pelo risco à saúde em caso de indisponibilidade. Recomenda-se revisão semestral dos SLAs, escalando SLAx para 80 req/s quando o volume superar 15 milhões de requisições/mês.</w:t>
      </w:r>
      <w:r>
        <w:rPr>
          <w:rtl w:val="0"/>
        </w:rPr>
      </w:r>
    </w:p>
    <w:sectPr>
      <w:pgSz w:h="16838" w:w="11906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