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it possible to use synchronized clocks instead of lamport clocks for tracking the relation happened-before defined by Lamport?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Yes, we can use synchronized clocks instead of lamport clocks for timestamps.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No, we cannot use synchronized clocks because a -&gt; b =/&gt; Ts(a) &lt; Ts(b)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No, we cannot use synchronized clocks because Ts(a) &lt; Ts(b)  =/&gt; a -&gt;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 cause of the CAP (Consistency, availability and partition tolerance)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theorem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the inability of detecting fault 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inter-process communication in a distributed system is message bound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 blocking primary backup may lead to a violation of sequential consistency. (V/F e justificar)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use of TCP facilitates the development of stored multimedia streaming applications, even if it may add delay and jitter. (T/F)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Synod algorithm, an acceptor ignores an accept request if it’s late, e.g if it is received after a timeout. (T/F)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Pure event based service designs may scale better than pure multi threaded based designs on a “uni-processor” platform. (T/F)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Whenever we use HTTP cookies, how do you classify the protocol and the server?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Both protocol and server are stateful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protocol is stateful and the server is stateless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protocol is stateless and the server is stateful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Both protocol and server are stateless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the web, a public key certificate never requires another public key certificate for validation purposes (V/F)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are cryptographic hash functions not used for?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Chord, the finger table of a node has more entries on nodes closer to it (in the ring) than entries on nodes farther away (T/F).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view synchronous multicast, all processes that move from one view to the next deliver the same set of messages in the first view (T/F)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