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C6" w:rsidRDefault="00171BC6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 xml:space="preserve">TEORIA </w:t>
      </w:r>
    </w:p>
    <w:p w:rsidR="00985E5B" w:rsidRPr="00985E5B" w:rsidRDefault="00171BC6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>GERAL DE SISTEMAS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985E5B" w:rsidRPr="00985E5B" w:rsidRDefault="00985E5B" w:rsidP="00985E5B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Lenon Felipe Bordini</w:t>
      </w:r>
    </w:p>
    <w:p w:rsidR="00985E5B" w:rsidRPr="00985E5B" w:rsidRDefault="00985E5B" w:rsidP="00985E5B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985E5B" w:rsidRDefault="00985E5B" w:rsidP="00985E5B">
      <w:pPr>
        <w:jc w:val="right"/>
        <w:rPr>
          <w:rFonts w:ascii="Arial" w:hAnsi="Arial" w:cs="Arial"/>
          <w:sz w:val="40"/>
          <w:szCs w:val="40"/>
        </w:rPr>
      </w:pPr>
    </w:p>
    <w:p w:rsidR="00E41D63" w:rsidRDefault="00326844" w:rsidP="00E41D6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E41D6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março</w:t>
      </w:r>
      <w:r w:rsidR="00E41D63">
        <w:rPr>
          <w:rFonts w:ascii="Arial" w:hAnsi="Arial" w:cs="Arial"/>
          <w:sz w:val="24"/>
          <w:szCs w:val="24"/>
        </w:rPr>
        <w:t xml:space="preserve"> de 2016</w:t>
      </w:r>
    </w:p>
    <w:p w:rsidR="00171BC6" w:rsidRDefault="00171BC6" w:rsidP="00E41D63">
      <w:pPr>
        <w:jc w:val="right"/>
        <w:rPr>
          <w:rFonts w:ascii="Arial" w:hAnsi="Arial" w:cs="Arial"/>
          <w:sz w:val="24"/>
          <w:szCs w:val="24"/>
        </w:rPr>
      </w:pPr>
    </w:p>
    <w:p w:rsidR="00985E5B" w:rsidRDefault="00171BC6" w:rsidP="00171BC6">
      <w:pPr>
        <w:spacing w:after="240"/>
        <w:jc w:val="center"/>
        <w:rPr>
          <w:rFonts w:ascii="Arial" w:hAnsi="Arial" w:cs="Arial"/>
          <w:b/>
          <w:color w:val="767171" w:themeColor="background2" w:themeShade="80"/>
          <w:sz w:val="32"/>
          <w:szCs w:val="32"/>
        </w:rPr>
      </w:pPr>
      <w:r w:rsidRPr="00171BC6">
        <w:rPr>
          <w:rFonts w:ascii="Arial" w:hAnsi="Arial" w:cs="Arial"/>
          <w:b/>
          <w:color w:val="767171" w:themeColor="background2" w:themeShade="80"/>
          <w:sz w:val="32"/>
          <w:szCs w:val="32"/>
        </w:rPr>
        <w:lastRenderedPageBreak/>
        <w:t>Princípios gerais dos si</w:t>
      </w:r>
      <w:r>
        <w:rPr>
          <w:rFonts w:ascii="Arial" w:hAnsi="Arial" w:cs="Arial"/>
          <w:b/>
          <w:color w:val="767171" w:themeColor="background2" w:themeShade="80"/>
          <w:sz w:val="32"/>
          <w:szCs w:val="32"/>
        </w:rPr>
        <w:t>s</w:t>
      </w:r>
      <w:r w:rsidRPr="00171BC6">
        <w:rPr>
          <w:rFonts w:ascii="Arial" w:hAnsi="Arial" w:cs="Arial"/>
          <w:b/>
          <w:color w:val="767171" w:themeColor="background2" w:themeShade="80"/>
          <w:sz w:val="32"/>
          <w:szCs w:val="32"/>
        </w:rPr>
        <w:t>temas</w:t>
      </w:r>
    </w:p>
    <w:p w:rsidR="00171BC6" w:rsidRDefault="00171BC6" w:rsidP="00460650">
      <w:pPr>
        <w:spacing w:after="240"/>
        <w:jc w:val="both"/>
        <w:rPr>
          <w:rFonts w:ascii="Arial" w:hAnsi="Arial" w:cs="Arial"/>
          <w:b/>
          <w:color w:val="767171" w:themeColor="background2" w:themeShade="80"/>
          <w:sz w:val="32"/>
          <w:szCs w:val="32"/>
        </w:rPr>
      </w:pPr>
      <w:bookmarkStart w:id="0" w:name="_GoBack"/>
      <w:bookmarkEnd w:id="0"/>
    </w:p>
    <w:p w:rsidR="00171BC6" w:rsidRPr="00171BC6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color w:val="3B3838" w:themeColor="background2" w:themeShade="40"/>
        </w:rPr>
      </w:pPr>
      <w:r w:rsidRPr="00171BC6">
        <w:rPr>
          <w:rFonts w:ascii="Arial" w:hAnsi="Arial" w:cs="Arial"/>
          <w:b/>
          <w:color w:val="3B3838" w:themeColor="background2" w:themeShade="40"/>
        </w:rPr>
        <w:t>Importação de energia</w:t>
      </w:r>
      <w:r w:rsidRPr="00171BC6">
        <w:rPr>
          <w:rFonts w:ascii="Arial" w:hAnsi="Arial" w:cs="Arial"/>
          <w:color w:val="3B3838" w:themeColor="background2" w:themeShade="40"/>
        </w:rPr>
        <w:t>:</w:t>
      </w:r>
      <w:r>
        <w:rPr>
          <w:rFonts w:ascii="Arial" w:hAnsi="Arial" w:cs="Arial"/>
          <w:color w:val="3B3838" w:themeColor="background2" w:themeShade="40"/>
        </w:rPr>
        <w:t xml:space="preserve"> </w:t>
      </w:r>
      <w:r w:rsidRPr="00171BC6">
        <w:rPr>
          <w:rFonts w:ascii="Arial" w:hAnsi="Arial" w:cs="Arial"/>
          <w:color w:val="3B3838" w:themeColor="background2" w:themeShade="40"/>
        </w:rPr>
        <w:t>Os Sistemas abertos precisam importar algum tipo de energia do ambiente. Assim sendo, as organizações sociais precisam também extrair energia, seja de outras organizações, pessoas ou do ambiente material/físico que as cerca – nenhuma estrutura social é autos</w:t>
      </w:r>
      <w:r>
        <w:rPr>
          <w:rFonts w:ascii="Arial" w:hAnsi="Arial" w:cs="Arial"/>
          <w:color w:val="3B3838" w:themeColor="background2" w:themeShade="40"/>
        </w:rPr>
        <w:t>s</w:t>
      </w:r>
      <w:r w:rsidRPr="00171BC6">
        <w:rPr>
          <w:rFonts w:ascii="Arial" w:hAnsi="Arial" w:cs="Arial"/>
          <w:color w:val="3B3838" w:themeColor="background2" w:themeShade="40"/>
        </w:rPr>
        <w:t>uficiente e autônoma.</w:t>
      </w:r>
    </w:p>
    <w:p w:rsidR="00171BC6" w:rsidRPr="00171BC6" w:rsidRDefault="00171BC6" w:rsidP="003D56E5">
      <w:pPr>
        <w:pStyle w:val="PargrafodaLista"/>
        <w:spacing w:after="240"/>
        <w:ind w:left="284" w:hanging="284"/>
        <w:jc w:val="both"/>
        <w:rPr>
          <w:rFonts w:ascii="Arial" w:hAnsi="Arial" w:cs="Arial"/>
          <w:color w:val="3B3838" w:themeColor="background2" w:themeShade="40"/>
        </w:rPr>
      </w:pPr>
    </w:p>
    <w:p w:rsidR="00460650" w:rsidRPr="00326844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  <w:r w:rsidRPr="00326844">
        <w:rPr>
          <w:rFonts w:ascii="Arial" w:hAnsi="Arial" w:cs="Arial"/>
          <w:b/>
          <w:color w:val="3B3838" w:themeColor="background2" w:themeShade="40"/>
        </w:rPr>
        <w:t>Sistemas são entidades cíclicas</w:t>
      </w:r>
      <w:r w:rsidR="00460650" w:rsidRPr="00326844">
        <w:rPr>
          <w:rFonts w:ascii="Arial" w:hAnsi="Arial" w:cs="Arial"/>
          <w:color w:val="3B3838" w:themeColor="background2" w:themeShade="40"/>
        </w:rPr>
        <w:t xml:space="preserve">: </w:t>
      </w:r>
      <w:r w:rsidR="00326844" w:rsidRPr="00326844">
        <w:rPr>
          <w:rFonts w:ascii="Arial" w:hAnsi="Arial" w:cs="Arial"/>
          <w:color w:val="3B3838" w:themeColor="background2" w:themeShade="40"/>
        </w:rPr>
        <w:t>A</w:t>
      </w:r>
      <w:r w:rsidR="00326844" w:rsidRPr="00326844">
        <w:rPr>
          <w:rFonts w:ascii="Arial" w:hAnsi="Arial" w:cs="Arial"/>
          <w:color w:val="3B3838" w:themeColor="background2" w:themeShade="40"/>
        </w:rPr>
        <w:t>s atividades geradas pelo intercâmbio de energia têm um padrão de caráter cíclico: o que é exportado para o ambiente proporciona energia para a repetição do ciclo de atividades. Em sistemas sociais, lembrando serem estes como sendo aqueles criados pelo homem para uma determinada finalidade (visão teleológica própria e característica deste tipo de sistemas), surgem, no afã de cumprirem as suas finalidades, objeto da sua constituição, os chamados processos</w:t>
      </w:r>
      <w:r w:rsidR="00326844" w:rsidRPr="00326844">
        <w:rPr>
          <w:rFonts w:ascii="Arial" w:hAnsi="Arial" w:cs="Arial"/>
          <w:color w:val="3B3838" w:themeColor="background2" w:themeShade="40"/>
        </w:rPr>
        <w:t>.</w:t>
      </w:r>
    </w:p>
    <w:p w:rsidR="00326844" w:rsidRPr="00326844" w:rsidRDefault="00326844" w:rsidP="003D56E5">
      <w:pPr>
        <w:pStyle w:val="PargrafodaLista"/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</w:p>
    <w:p w:rsidR="00460650" w:rsidRPr="003D56E5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  <w:r w:rsidRPr="003D56E5">
        <w:rPr>
          <w:rFonts w:ascii="Arial" w:hAnsi="Arial" w:cs="Arial"/>
          <w:b/>
          <w:color w:val="3B3838" w:themeColor="background2" w:themeShade="40"/>
        </w:rPr>
        <w:t>Entropia e sintropia</w:t>
      </w:r>
      <w:r w:rsidR="00326844" w:rsidRPr="003D56E5">
        <w:rPr>
          <w:rFonts w:ascii="Arial" w:hAnsi="Arial" w:cs="Arial"/>
          <w:color w:val="3B3838" w:themeColor="background2" w:themeShade="40"/>
        </w:rPr>
        <w:t>:</w:t>
      </w:r>
      <w:r w:rsidR="00326844" w:rsidRPr="003D56E5">
        <w:rPr>
          <w:rFonts w:ascii="Arial" w:hAnsi="Arial" w:cs="Arial"/>
          <w:b/>
          <w:color w:val="3B3838" w:themeColor="background2" w:themeShade="40"/>
        </w:rPr>
        <w:t xml:space="preserve"> </w:t>
      </w:r>
      <w:r w:rsidR="003D56E5" w:rsidRPr="003D56E5">
        <w:rPr>
          <w:rFonts w:ascii="Arial" w:hAnsi="Arial" w:cs="Arial"/>
          <w:color w:val="3B3838" w:themeColor="background2" w:themeShade="40"/>
        </w:rPr>
        <w:t>A entropia é uma lei universal da natureza que estabelece que todas as formas de organização tendem à desordem ou à morte. O sistema aberto, por importar mais energia do ambiente do que necessita, pode, com este mecanismo, adquirir entropia negativa. Há, então, nos sistemas abertos, uma tendência geral para tornar máxima a relação energia importada/energia exportada, visando à sobrevivência, mesmo em tempo de crise e, inclusive, para sobrevida maior que a prevista.</w:t>
      </w:r>
    </w:p>
    <w:p w:rsidR="003D56E5" w:rsidRPr="003D56E5" w:rsidRDefault="003D56E5" w:rsidP="003D56E5">
      <w:pPr>
        <w:pStyle w:val="PargrafodaLista"/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</w:p>
    <w:p w:rsidR="00171BC6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  <w:r w:rsidRPr="00460650">
        <w:rPr>
          <w:rFonts w:ascii="Arial" w:hAnsi="Arial" w:cs="Arial"/>
          <w:b/>
          <w:color w:val="3B3838" w:themeColor="background2" w:themeShade="40"/>
        </w:rPr>
        <w:t>Feedback</w:t>
      </w:r>
      <w:r w:rsidR="00326844" w:rsidRPr="00326844">
        <w:rPr>
          <w:rFonts w:ascii="Arial" w:hAnsi="Arial" w:cs="Arial"/>
          <w:color w:val="3B3838" w:themeColor="background2" w:themeShade="40"/>
        </w:rPr>
        <w:t>:</w:t>
      </w:r>
      <w:r w:rsidR="00326844">
        <w:rPr>
          <w:rFonts w:ascii="Arial" w:hAnsi="Arial" w:cs="Arial"/>
          <w:b/>
          <w:color w:val="3B3838" w:themeColor="background2" w:themeShade="40"/>
        </w:rPr>
        <w:t xml:space="preserve"> </w:t>
      </w:r>
      <w:r w:rsidR="00326844" w:rsidRPr="00326844">
        <w:rPr>
          <w:rFonts w:ascii="Arial" w:hAnsi="Arial" w:cs="Arial"/>
          <w:color w:val="3B3838" w:themeColor="background2" w:themeShade="40"/>
          <w:shd w:val="clear" w:color="auto" w:fill="FFFFFF"/>
        </w:rPr>
        <w:t>Os inputs para os sistemas vivos não consistem somente em materiais contendo energia, os quais se transformam ou são alterados pelo trabalho feito. Os inputs também são de caráter informativo e proporcionam sinais à estrutura sobre o ambiente e sobre seu próprio funcionamento em relação a ele. Assim como reconhecemos a distinção entre indícios e impulsos da psicologia individual, devemos levar em conta o insumo de informação e energia para todos os sistemas vivos.</w:t>
      </w:r>
    </w:p>
    <w:p w:rsidR="00460650" w:rsidRPr="00460650" w:rsidRDefault="00460650" w:rsidP="003D56E5">
      <w:pPr>
        <w:pStyle w:val="PargrafodaLista"/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</w:p>
    <w:p w:rsidR="00171BC6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  <w:r w:rsidRPr="00460650">
        <w:rPr>
          <w:rFonts w:ascii="Arial" w:hAnsi="Arial" w:cs="Arial"/>
          <w:b/>
          <w:color w:val="3B3838" w:themeColor="background2" w:themeShade="40"/>
        </w:rPr>
        <w:t>Homeostase dinâmica e estabilidade</w:t>
      </w:r>
      <w:r w:rsidR="00326844" w:rsidRPr="00326844">
        <w:rPr>
          <w:rFonts w:ascii="Arial" w:hAnsi="Arial" w:cs="Arial"/>
          <w:color w:val="3B3838" w:themeColor="background2" w:themeShade="40"/>
        </w:rPr>
        <w:t>:</w:t>
      </w:r>
      <w:r w:rsidR="00326844">
        <w:rPr>
          <w:rFonts w:ascii="Arial" w:hAnsi="Arial" w:cs="Arial"/>
          <w:b/>
          <w:color w:val="3B3838" w:themeColor="background2" w:themeShade="40"/>
        </w:rPr>
        <w:t xml:space="preserve"> </w:t>
      </w:r>
      <w:r w:rsidR="00326844" w:rsidRPr="00326844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A importação de energia para deter a entropia opera para manter uma certa constância no intercâmbio de energia, de modo que os sistemas abertos que sobrevivem são caracterizados por um estado firme. Um estado firme não é sem movimento ou de equilíbrio. Existe um influxo contínuo de energia do ambiente exterior e uma exportação contínua dos produtos do </w:t>
      </w:r>
      <w:r w:rsidR="00326844" w:rsidRPr="00326844">
        <w:rPr>
          <w:rFonts w:ascii="Arial" w:hAnsi="Arial" w:cs="Arial"/>
          <w:color w:val="3B3838" w:themeColor="background2" w:themeShade="40"/>
          <w:shd w:val="clear" w:color="auto" w:fill="FFFFFF"/>
        </w:rPr>
        <w:t>sistema,</w:t>
      </w:r>
      <w:r w:rsidR="00326844" w:rsidRPr="00326844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mas o caráter deste, o quociente de intercâmbios de energia e as relações entre as partes continuam os mesmos.</w:t>
      </w:r>
    </w:p>
    <w:p w:rsidR="00460650" w:rsidRPr="00460650" w:rsidRDefault="00460650" w:rsidP="003D56E5">
      <w:pPr>
        <w:pStyle w:val="PargrafodaLista"/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</w:p>
    <w:p w:rsidR="00460650" w:rsidRPr="00326844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  <w:r w:rsidRPr="00460650">
        <w:rPr>
          <w:rFonts w:ascii="Arial" w:hAnsi="Arial" w:cs="Arial"/>
          <w:b/>
          <w:color w:val="3B3838" w:themeColor="background2" w:themeShade="40"/>
        </w:rPr>
        <w:t>Diferenciação</w:t>
      </w:r>
      <w:r w:rsidR="00460650" w:rsidRPr="00460650">
        <w:rPr>
          <w:rFonts w:ascii="Arial" w:hAnsi="Arial" w:cs="Arial"/>
          <w:color w:val="3B3838" w:themeColor="background2" w:themeShade="40"/>
        </w:rPr>
        <w:t>:</w:t>
      </w:r>
      <w:r w:rsidR="00460650">
        <w:rPr>
          <w:rFonts w:ascii="Arial" w:hAnsi="Arial" w:cs="Arial"/>
          <w:b/>
          <w:color w:val="3B3838" w:themeColor="background2" w:themeShade="40"/>
        </w:rPr>
        <w:t xml:space="preserve"> </w:t>
      </w:r>
      <w:r w:rsidR="00460650" w:rsidRPr="00460650">
        <w:rPr>
          <w:rFonts w:ascii="Arial" w:hAnsi="Arial" w:cs="Arial"/>
          <w:color w:val="3B3838" w:themeColor="background2" w:themeShade="40"/>
          <w:shd w:val="clear" w:color="auto" w:fill="FFFFFF"/>
        </w:rPr>
        <w:t>Os padrões difusos e globais são substituídos por funções mais especializadas. Os órgãos sensoriais e o sistema nervoso evolveram como estruturas altamente diferenciadas, a partir dos primitivos tecidos nervosos. O crescimento da personalidade prossegue de organizações primitivas e grosseiras das funções mentais, para sistemas hierarquicamente estruturados e bem diferenciados de crenças e sentimentos. As organizações sociais deslocam-se para os papéis de multiplicação e elaboração com maior especialização de função.</w:t>
      </w:r>
    </w:p>
    <w:p w:rsidR="00326844" w:rsidRPr="00326844" w:rsidRDefault="00326844" w:rsidP="003D56E5">
      <w:pPr>
        <w:pStyle w:val="PargrafodaLista"/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</w:p>
    <w:p w:rsidR="00171BC6" w:rsidRPr="00460650" w:rsidRDefault="00171BC6" w:rsidP="003D56E5">
      <w:pPr>
        <w:pStyle w:val="Pargrafoda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b/>
          <w:color w:val="3B3838" w:themeColor="background2" w:themeShade="40"/>
        </w:rPr>
      </w:pPr>
      <w:r w:rsidRPr="00460650">
        <w:rPr>
          <w:rFonts w:ascii="Arial" w:hAnsi="Arial" w:cs="Arial"/>
          <w:b/>
          <w:color w:val="3B3838" w:themeColor="background2" w:themeShade="40"/>
        </w:rPr>
        <w:t>Eq</w:t>
      </w:r>
      <w:r w:rsidR="00460650" w:rsidRPr="00460650">
        <w:rPr>
          <w:rFonts w:ascii="Arial" w:hAnsi="Arial" w:cs="Arial"/>
          <w:b/>
          <w:color w:val="3B3838" w:themeColor="background2" w:themeShade="40"/>
          <w:shd w:val="clear" w:color="auto" w:fill="FFFFFF"/>
        </w:rPr>
        <w:t>ü</w:t>
      </w:r>
      <w:r w:rsidRPr="00460650">
        <w:rPr>
          <w:rFonts w:ascii="Arial" w:hAnsi="Arial" w:cs="Arial"/>
          <w:b/>
          <w:color w:val="3B3838" w:themeColor="background2" w:themeShade="40"/>
        </w:rPr>
        <w:t>ifinalidade</w:t>
      </w:r>
      <w:r w:rsidR="00460650" w:rsidRPr="00460650">
        <w:rPr>
          <w:rFonts w:ascii="Arial" w:hAnsi="Arial" w:cs="Arial"/>
        </w:rPr>
        <w:t>:</w:t>
      </w:r>
      <w:r w:rsidR="00460650">
        <w:rPr>
          <w:rFonts w:ascii="Arial" w:hAnsi="Arial" w:cs="Arial"/>
        </w:rPr>
        <w:t xml:space="preserve"> </w:t>
      </w:r>
      <w:r w:rsidR="00460650" w:rsidRPr="00460650">
        <w:rPr>
          <w:rFonts w:ascii="Arial" w:hAnsi="Arial" w:cs="Arial"/>
          <w:color w:val="3B3838" w:themeColor="background2" w:themeShade="40"/>
          <w:shd w:val="clear" w:color="auto" w:fill="FFFFFF"/>
        </w:rPr>
        <w:t>De acordo com esse princípio, um sistema pode alcançar, por uma variedade de caminhos, o mesmo estado final, partindo de diferentes condições iniciais. À medida que os sistemas abertos se deslocam em direção a mecanismos regulatórios para controlar suas operações a quantidade de eqüifinalidade pode ser reduzida.</w:t>
      </w:r>
    </w:p>
    <w:sectPr w:rsidR="00171BC6" w:rsidRPr="00460650" w:rsidSect="003D56E5">
      <w:pgSz w:w="11906" w:h="16838"/>
      <w:pgMar w:top="993" w:right="11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84222"/>
    <w:multiLevelType w:val="hybridMultilevel"/>
    <w:tmpl w:val="76D2F780"/>
    <w:lvl w:ilvl="0" w:tplc="A6B641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7"/>
    <w:rsid w:val="00171BC6"/>
    <w:rsid w:val="00326844"/>
    <w:rsid w:val="003D56E5"/>
    <w:rsid w:val="00460650"/>
    <w:rsid w:val="00661BC1"/>
    <w:rsid w:val="00985E5B"/>
    <w:rsid w:val="00D82D37"/>
    <w:rsid w:val="00E4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94BCB-5922-4297-ACC4-3E21084F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5E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1BC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6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</dc:creator>
  <cp:keywords/>
  <dc:description/>
  <cp:lastModifiedBy>Lenon Bordini</cp:lastModifiedBy>
  <cp:revision>2</cp:revision>
  <dcterms:created xsi:type="dcterms:W3CDTF">2016-02-20T17:44:00Z</dcterms:created>
  <dcterms:modified xsi:type="dcterms:W3CDTF">2016-03-12T18:43:00Z</dcterms:modified>
</cp:coreProperties>
</file>