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254" w:rsidRPr="00CD106A" w:rsidRDefault="002422BE" w:rsidP="00CD106A">
      <w:pPr>
        <w:jc w:val="center"/>
        <w:rPr>
          <w:b/>
          <w:color w:val="404040" w:themeColor="text1" w:themeTint="BF"/>
          <w:sz w:val="32"/>
          <w:szCs w:val="32"/>
        </w:rPr>
      </w:pPr>
      <w:r w:rsidRPr="00CD106A">
        <w:rPr>
          <w:b/>
          <w:color w:val="404040" w:themeColor="text1" w:themeTint="BF"/>
          <w:sz w:val="32"/>
          <w:szCs w:val="32"/>
        </w:rPr>
        <w:t>Estudo de caso Wall Mart</w:t>
      </w:r>
    </w:p>
    <w:p w:rsidR="002422BE" w:rsidRDefault="002422BE"/>
    <w:p w:rsidR="002422BE" w:rsidRDefault="00CD106A" w:rsidP="00CD106A">
      <w:pPr>
        <w:pStyle w:val="PargrafodaLista"/>
        <w:numPr>
          <w:ilvl w:val="0"/>
          <w:numId w:val="1"/>
        </w:numPr>
        <w:spacing w:after="0"/>
      </w:pPr>
      <w:r>
        <w:t xml:space="preserve">Foi feito a cooperação entre as organizações para resultar em um bem maior para ambos, para o WM houve o aumento de espaço no estoque dos centros de distribuição, com isso aumentando as vendas por ter mais produtos estocados, e a </w:t>
      </w:r>
      <w:proofErr w:type="spellStart"/>
      <w:r>
        <w:t>PeG</w:t>
      </w:r>
      <w:proofErr w:type="spellEnd"/>
      <w:r>
        <w:t xml:space="preserve"> conseguiu elevar o seu lucro com a necessidade do WM.</w:t>
      </w:r>
    </w:p>
    <w:p w:rsidR="00CD106A" w:rsidRDefault="00CD106A" w:rsidP="00CD106A">
      <w:pPr>
        <w:pStyle w:val="PargrafodaLista"/>
        <w:spacing w:after="0"/>
      </w:pPr>
    </w:p>
    <w:p w:rsidR="00CD106A" w:rsidRDefault="00CD106A" w:rsidP="00CD106A">
      <w:pPr>
        <w:pStyle w:val="PargrafodaLista"/>
        <w:numPr>
          <w:ilvl w:val="0"/>
          <w:numId w:val="1"/>
        </w:numPr>
        <w:spacing w:before="120" w:after="120"/>
      </w:pPr>
      <w:r>
        <w:t xml:space="preserve">Houve uma diminuição pelo fato da </w:t>
      </w:r>
      <w:proofErr w:type="spellStart"/>
      <w:r>
        <w:t>PeG</w:t>
      </w:r>
      <w:proofErr w:type="spellEnd"/>
      <w:r>
        <w:t xml:space="preserve"> assumir a responsabilidade de reabastecer diretamente o WA, não precisando de uma solicitação do WA para a </w:t>
      </w:r>
      <w:proofErr w:type="spellStart"/>
      <w:r>
        <w:t>PeG</w:t>
      </w:r>
      <w:proofErr w:type="spellEnd"/>
      <w:r>
        <w:t xml:space="preserve"> reabastecer o estoque.</w:t>
      </w:r>
    </w:p>
    <w:p w:rsidR="00CD106A" w:rsidRDefault="00CD106A" w:rsidP="00CD106A">
      <w:pPr>
        <w:pStyle w:val="PargrafodaLista"/>
      </w:pPr>
    </w:p>
    <w:p w:rsidR="00CD106A" w:rsidRDefault="00CD106A" w:rsidP="00CD106A">
      <w:pPr>
        <w:pStyle w:val="PargrafodaLista"/>
        <w:spacing w:before="120" w:after="120"/>
      </w:pPr>
    </w:p>
    <w:p w:rsidR="00516659" w:rsidRDefault="00516659" w:rsidP="00516659">
      <w:pPr>
        <w:pStyle w:val="PargrafodaLista"/>
        <w:numPr>
          <w:ilvl w:val="0"/>
          <w:numId w:val="1"/>
        </w:numPr>
        <w:spacing w:before="120" w:after="120"/>
      </w:pPr>
      <w:r>
        <w:t>A função das fronteiras organizacionais são defender, para que ambas as empresas não fiquem no prejuízo, e sim evoluam junto. Para que isso ocorra, devem colocar limites para limitar e integrar, mantendo o sistema delas ativo.</w:t>
      </w:r>
    </w:p>
    <w:p w:rsidR="00516659" w:rsidRDefault="00516659" w:rsidP="00516659">
      <w:pPr>
        <w:pStyle w:val="PargrafodaLista"/>
        <w:spacing w:before="120" w:after="120"/>
      </w:pPr>
    </w:p>
    <w:p w:rsidR="00516659" w:rsidRDefault="00516659" w:rsidP="00516659">
      <w:pPr>
        <w:pStyle w:val="PargrafodaLista"/>
        <w:numPr>
          <w:ilvl w:val="0"/>
          <w:numId w:val="1"/>
        </w:numPr>
        <w:spacing w:before="120" w:after="120"/>
      </w:pPr>
      <w:r>
        <w:t>Pode ser estabelecido o entrelaçamento através de uma necessidade de uma empresa, buscando meios de solução neste problema em negociação com outras empresas especialistas em um determinado assunto, visando eliminar departamentos das empresas deixando apenas um que poça fazer de forma eficiente.</w:t>
      </w:r>
    </w:p>
    <w:p w:rsidR="00516659" w:rsidRDefault="00516659" w:rsidP="00516659">
      <w:pPr>
        <w:pStyle w:val="PargrafodaLista"/>
      </w:pPr>
    </w:p>
    <w:p w:rsidR="00516659" w:rsidRDefault="00516659" w:rsidP="00516659">
      <w:pPr>
        <w:pStyle w:val="PargrafodaLista"/>
      </w:pPr>
    </w:p>
    <w:p w:rsidR="00516659" w:rsidRDefault="00516659" w:rsidP="00516659">
      <w:pPr>
        <w:pStyle w:val="PargrafodaLista"/>
        <w:numPr>
          <w:ilvl w:val="0"/>
          <w:numId w:val="1"/>
        </w:numPr>
        <w:spacing w:before="120" w:after="120"/>
      </w:pPr>
      <w:r>
        <w:t xml:space="preserve">Com a entrada de produtos da </w:t>
      </w:r>
      <w:proofErr w:type="spellStart"/>
      <w:r>
        <w:t>PeG</w:t>
      </w:r>
      <w:proofErr w:type="spellEnd"/>
      <w:r>
        <w:t xml:space="preserve"> para serem comercializados gerava um resultado pouco desejável com um custo muito elevado e um grande espaço de armazenamento fazendo assim um estoque desnecessário de produtos de baixo valor</w:t>
      </w:r>
      <w:r w:rsidR="00334ECA">
        <w:t>.</w:t>
      </w:r>
    </w:p>
    <w:p w:rsidR="002422BE" w:rsidRDefault="00CD106A" w:rsidP="00CD106A">
      <w:r>
        <w:pict>
          <v:rect id="_x0000_i1025" style="width:0;height:1.5pt" o:hralign="center" o:hrstd="t" o:hr="t" fillcolor="#a0a0a0" stroked="f"/>
        </w:pict>
      </w:r>
    </w:p>
    <w:p w:rsidR="002422BE" w:rsidRPr="002422BE" w:rsidRDefault="002422BE" w:rsidP="002422BE">
      <w:pPr>
        <w:spacing w:after="0"/>
        <w:jc w:val="right"/>
        <w:rPr>
          <w:color w:val="595959" w:themeColor="text1" w:themeTint="A6"/>
        </w:rPr>
      </w:pPr>
      <w:r w:rsidRPr="002422BE">
        <w:rPr>
          <w:color w:val="595959" w:themeColor="text1" w:themeTint="A6"/>
        </w:rPr>
        <w:t>Roberto Carlos Siena Junior – 16338901</w:t>
      </w:r>
    </w:p>
    <w:p w:rsidR="002422BE" w:rsidRPr="002422BE" w:rsidRDefault="002422BE" w:rsidP="002422BE">
      <w:pPr>
        <w:spacing w:after="0"/>
        <w:jc w:val="right"/>
        <w:rPr>
          <w:color w:val="595959" w:themeColor="text1" w:themeTint="A6"/>
        </w:rPr>
      </w:pPr>
      <w:r w:rsidRPr="002422BE">
        <w:rPr>
          <w:color w:val="595959" w:themeColor="text1" w:themeTint="A6"/>
        </w:rPr>
        <w:t>Paulo Souza – 16208854</w:t>
      </w:r>
    </w:p>
    <w:p w:rsidR="002422BE" w:rsidRPr="002422BE" w:rsidRDefault="002422BE" w:rsidP="002422BE">
      <w:pPr>
        <w:spacing w:after="0"/>
        <w:jc w:val="right"/>
        <w:rPr>
          <w:color w:val="595959" w:themeColor="text1" w:themeTint="A6"/>
        </w:rPr>
      </w:pPr>
      <w:r w:rsidRPr="002422BE">
        <w:rPr>
          <w:color w:val="595959" w:themeColor="text1" w:themeTint="A6"/>
        </w:rPr>
        <w:t>Gabriel Henrique Souza – 16363388</w:t>
      </w:r>
    </w:p>
    <w:p w:rsidR="002422BE" w:rsidRPr="002422BE" w:rsidRDefault="002422BE" w:rsidP="002422BE">
      <w:pPr>
        <w:spacing w:after="0"/>
        <w:jc w:val="right"/>
        <w:rPr>
          <w:color w:val="595959" w:themeColor="text1" w:themeTint="A6"/>
        </w:rPr>
      </w:pPr>
      <w:r w:rsidRPr="002422BE">
        <w:rPr>
          <w:color w:val="595959" w:themeColor="text1" w:themeTint="A6"/>
        </w:rPr>
        <w:t>Luiz Gustavo – 16423771</w:t>
      </w:r>
    </w:p>
    <w:p w:rsidR="002422BE" w:rsidRPr="002422BE" w:rsidRDefault="002422BE" w:rsidP="002422BE">
      <w:pPr>
        <w:spacing w:after="0"/>
        <w:jc w:val="right"/>
        <w:rPr>
          <w:color w:val="595959" w:themeColor="text1" w:themeTint="A6"/>
        </w:rPr>
      </w:pPr>
      <w:r w:rsidRPr="002422BE">
        <w:rPr>
          <w:color w:val="595959" w:themeColor="text1" w:themeTint="A6"/>
        </w:rPr>
        <w:t>João Gabriel – 16528630</w:t>
      </w:r>
    </w:p>
    <w:p w:rsidR="002422BE" w:rsidRPr="002422BE" w:rsidRDefault="002422BE" w:rsidP="002422BE">
      <w:pPr>
        <w:spacing w:after="0"/>
        <w:jc w:val="right"/>
        <w:rPr>
          <w:color w:val="595959" w:themeColor="text1" w:themeTint="A6"/>
        </w:rPr>
      </w:pPr>
      <w:r w:rsidRPr="002422BE">
        <w:rPr>
          <w:color w:val="595959" w:themeColor="text1" w:themeTint="A6"/>
        </w:rPr>
        <w:t>Lenon Bordini – 16248643</w:t>
      </w:r>
    </w:p>
    <w:p w:rsidR="002422BE" w:rsidRPr="002422BE" w:rsidRDefault="002422BE" w:rsidP="002422BE">
      <w:pPr>
        <w:spacing w:after="0"/>
        <w:jc w:val="right"/>
        <w:rPr>
          <w:color w:val="595959" w:themeColor="text1" w:themeTint="A6"/>
        </w:rPr>
      </w:pPr>
      <w:r w:rsidRPr="002422BE">
        <w:rPr>
          <w:color w:val="595959" w:themeColor="text1" w:themeTint="A6"/>
        </w:rPr>
        <w:t>Bruno Alves – 16248724</w:t>
      </w:r>
    </w:p>
    <w:p w:rsidR="002422BE" w:rsidRPr="002422BE" w:rsidRDefault="002422BE" w:rsidP="002422BE">
      <w:pPr>
        <w:spacing w:after="0"/>
        <w:jc w:val="right"/>
        <w:rPr>
          <w:color w:val="595959" w:themeColor="text1" w:themeTint="A6"/>
          <w:u w:val="single"/>
        </w:rPr>
      </w:pPr>
      <w:r w:rsidRPr="002422BE">
        <w:rPr>
          <w:color w:val="595959" w:themeColor="text1" w:themeTint="A6"/>
        </w:rPr>
        <w:t>Al</w:t>
      </w:r>
      <w:r w:rsidR="00334ECA">
        <w:rPr>
          <w:color w:val="595959" w:themeColor="text1" w:themeTint="A6"/>
        </w:rPr>
        <w:t>l</w:t>
      </w:r>
      <w:bookmarkStart w:id="0" w:name="_GoBack"/>
      <w:bookmarkEnd w:id="0"/>
      <w:r w:rsidRPr="002422BE">
        <w:rPr>
          <w:color w:val="595959" w:themeColor="text1" w:themeTint="A6"/>
        </w:rPr>
        <w:t xml:space="preserve">an Domingues Oliveira </w:t>
      </w:r>
      <w:r w:rsidRPr="002422BE">
        <w:rPr>
          <w:color w:val="595959" w:themeColor="text1" w:themeTint="A6"/>
        </w:rPr>
        <w:t>–</w:t>
      </w:r>
      <w:r w:rsidRPr="002422BE">
        <w:rPr>
          <w:color w:val="595959" w:themeColor="text1" w:themeTint="A6"/>
        </w:rPr>
        <w:t xml:space="preserve"> 16290135</w:t>
      </w:r>
    </w:p>
    <w:p w:rsidR="002422BE" w:rsidRDefault="002422BE"/>
    <w:sectPr w:rsidR="002422BE" w:rsidSect="00CD106A">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727A7"/>
    <w:multiLevelType w:val="hybridMultilevel"/>
    <w:tmpl w:val="BD0862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BE"/>
    <w:rsid w:val="002422BE"/>
    <w:rsid w:val="00334ECA"/>
    <w:rsid w:val="00516659"/>
    <w:rsid w:val="00582254"/>
    <w:rsid w:val="00CD10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BF078-C9F7-4A98-94E4-BBB18CD9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Lenon Bordini</dc:creator>
  <cp:keywords/>
  <dc:description/>
  <cp:lastModifiedBy>Lenon Bordini</cp:lastModifiedBy>
  <cp:revision>2</cp:revision>
  <dcterms:created xsi:type="dcterms:W3CDTF">2016-03-11T00:30:00Z</dcterms:created>
  <dcterms:modified xsi:type="dcterms:W3CDTF">2016-03-11T01:01:00Z</dcterms:modified>
</cp:coreProperties>
</file>