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Crystal Mcknight</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