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Latoya Johnson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