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Mark Smith</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