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9" w:type="dxa"/>
        <w:tblInd w:w="-489" w:type="dxa"/>
        <w:tblLayout w:type="fixed"/>
        <w:tblLook w:val="0000" w:firstRow="0" w:lastRow="0" w:firstColumn="0" w:lastColumn="0" w:noHBand="0" w:noVBand="0"/>
      </w:tblPr>
      <w:tblGrid>
        <w:gridCol w:w="1995"/>
        <w:gridCol w:w="2998"/>
        <w:gridCol w:w="1063"/>
        <w:gridCol w:w="1326"/>
        <w:gridCol w:w="1260"/>
        <w:gridCol w:w="2617"/>
      </w:tblGrid>
      <w:tr w:rsidR="00B649B8" w:rsidTr="00453909">
        <w:trPr>
          <w:trHeight w:val="445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649B8" w:rsidRDefault="00B10A53" w:rsidP="004A424E">
            <w:pPr>
              <w:pStyle w:val="Standard1"/>
              <w:snapToGrid w:val="0"/>
              <w:rPr>
                <w:rFonts w:ascii="Tw Cen MT" w:hAnsi="Tw Cen MT" w:cs="Tw Cen MT"/>
                <w:b/>
                <w:sz w:val="22"/>
                <w:szCs w:val="22"/>
              </w:rPr>
            </w:pPr>
            <w:bookmarkStart w:id="0" w:name="_Hlk160427558"/>
            <w:bookmarkEnd w:id="0"/>
            <w:r>
              <w:rPr>
                <w:rFonts w:ascii="Tw Cen MT" w:hAnsi="Tw Cen MT" w:cs="Tw Cen MT"/>
                <w:b/>
                <w:iCs/>
                <w:sz w:val="22"/>
                <w:szCs w:val="22"/>
              </w:rPr>
              <w:t>-</w:t>
            </w:r>
            <w:r w:rsidR="005465AD">
              <w:rPr>
                <w:rFonts w:ascii="Tw Cen MT" w:hAnsi="Tw Cen MT" w:cs="Tw Cen MT"/>
                <w:b/>
                <w:iCs/>
                <w:sz w:val="22"/>
                <w:szCs w:val="22"/>
              </w:rPr>
              <w:t>Knowledge Acquisition</w:t>
            </w:r>
            <w:r w:rsidR="00B649B8">
              <w:rPr>
                <w:rFonts w:ascii="Tw Cen MT" w:hAnsi="Tw Cen MT" w:cs="Tw Cen MT"/>
                <w:b/>
                <w:iCs/>
                <w:sz w:val="22"/>
                <w:szCs w:val="22"/>
              </w:rPr>
              <w:t xml:space="preserve">: </w:t>
            </w:r>
            <w:r w:rsidR="004003C1" w:rsidRPr="004003C1">
              <w:rPr>
                <w:rFonts w:ascii="Arial" w:hAnsi="Arial" w:cs="Arial"/>
                <w:sz w:val="18"/>
                <w:szCs w:val="18"/>
              </w:rPr>
              <w:t>VIP</w:t>
            </w:r>
            <w:r w:rsidR="009628B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628B2">
              <w:rPr>
                <w:rFonts w:ascii="Arial" w:hAnsi="Arial" w:cs="Arial"/>
                <w:sz w:val="18"/>
                <w:szCs w:val="18"/>
              </w:rPr>
              <w:t>Logistica</w:t>
            </w:r>
            <w:proofErr w:type="spellEnd"/>
            <w:r w:rsidR="009628B2">
              <w:rPr>
                <w:rFonts w:ascii="Arial" w:hAnsi="Arial" w:cs="Arial"/>
                <w:sz w:val="18"/>
                <w:szCs w:val="18"/>
              </w:rPr>
              <w:t xml:space="preserve"> -</w:t>
            </w:r>
            <w:r w:rsidR="004003C1" w:rsidRPr="004003C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003C1" w:rsidRPr="004003C1">
              <w:rPr>
                <w:rFonts w:ascii="Arial" w:hAnsi="Arial" w:cs="Arial"/>
                <w:sz w:val="18"/>
                <w:szCs w:val="18"/>
              </w:rPr>
              <w:t>Portos</w:t>
            </w:r>
            <w:proofErr w:type="spellEnd"/>
          </w:p>
        </w:tc>
        <w:tc>
          <w:tcPr>
            <w:tcW w:w="5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649B8" w:rsidRDefault="00E13834" w:rsidP="005465AD">
            <w:pPr>
              <w:pStyle w:val="Standard1"/>
              <w:snapToGrid w:val="0"/>
              <w:spacing w:before="0" w:after="0"/>
              <w:rPr>
                <w:rFonts w:ascii="Tw Cen MT" w:hAnsi="Tw Cen MT" w:cs="Tw Cen MT"/>
                <w:b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 xml:space="preserve">End </w:t>
            </w:r>
            <w:r w:rsidR="00B649B8">
              <w:rPr>
                <w:rFonts w:ascii="Tw Cen MT" w:hAnsi="Tw Cen MT" w:cs="Tw Cen MT"/>
                <w:b/>
                <w:sz w:val="22"/>
                <w:szCs w:val="22"/>
              </w:rPr>
              <w:t>Date</w:t>
            </w:r>
            <w:r w:rsidR="00B649B8">
              <w:rPr>
                <w:rFonts w:ascii="Tw Cen MT" w:eastAsia="SimSun" w:hAnsi="Tw Cen MT" w:cs="Tw Cen MT"/>
              </w:rPr>
              <w:t xml:space="preserve">: </w:t>
            </w:r>
            <w:r w:rsidR="007535D0">
              <w:rPr>
                <w:rFonts w:ascii="Tw Cen MT" w:eastAsia="SimSun" w:hAnsi="Tw Cen MT" w:cs="Tw Cen MT"/>
              </w:rPr>
              <w:t>14</w:t>
            </w:r>
            <w:r w:rsidR="005465AD">
              <w:rPr>
                <w:rFonts w:ascii="Tw Cen MT" w:eastAsia="SimSun" w:hAnsi="Tw Cen MT" w:cs="Tw Cen MT"/>
              </w:rPr>
              <w:t>/03</w:t>
            </w:r>
            <w:r w:rsidR="00BD7FFA">
              <w:rPr>
                <w:rFonts w:ascii="Tw Cen MT" w:eastAsia="SimSun" w:hAnsi="Tw Cen MT" w:cs="Tw Cen MT"/>
              </w:rPr>
              <w:t>/2019</w:t>
            </w:r>
          </w:p>
        </w:tc>
      </w:tr>
      <w:tr w:rsidR="00B649B8" w:rsidTr="00453909">
        <w:trPr>
          <w:cantSplit/>
          <w:trHeight w:val="493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snapToGrid w:val="0"/>
              <w:jc w:val="center"/>
              <w:rPr>
                <w:rFonts w:ascii="Tw Cen MT" w:eastAsia="SimSun" w:hAnsi="Tw Cen MT" w:cs="Tw Cen MT"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 xml:space="preserve">Meeting </w:t>
            </w:r>
            <w:proofErr w:type="spellStart"/>
            <w:r>
              <w:rPr>
                <w:rFonts w:ascii="Tw Cen MT" w:hAnsi="Tw Cen MT" w:cs="Tw Cen MT"/>
                <w:b/>
                <w:sz w:val="22"/>
                <w:szCs w:val="22"/>
              </w:rPr>
              <w:t>Facilitator</w:t>
            </w:r>
            <w:proofErr w:type="spellEnd"/>
            <w:r>
              <w:rPr>
                <w:rFonts w:ascii="Tw Cen MT" w:hAnsi="Tw Cen MT" w:cs="Tw Cen MT"/>
                <w:b/>
                <w:sz w:val="22"/>
                <w:szCs w:val="22"/>
              </w:rPr>
              <w:t>: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D7FFA">
            <w:pPr>
              <w:snapToGrid w:val="0"/>
              <w:jc w:val="center"/>
              <w:rPr>
                <w:rFonts w:ascii="Tw Cen MT" w:hAnsi="Tw Cen MT" w:cs="Tw Cen MT"/>
                <w:b/>
                <w:sz w:val="22"/>
                <w:szCs w:val="22"/>
              </w:rPr>
            </w:pPr>
            <w:r w:rsidRPr="00583A3E">
              <w:rPr>
                <w:rFonts w:ascii="Arial" w:hAnsi="Arial" w:cs="Arial"/>
                <w:sz w:val="18"/>
                <w:szCs w:val="18"/>
              </w:rPr>
              <w:t>Graziella</w:t>
            </w:r>
            <w:r w:rsidR="00453909">
              <w:rPr>
                <w:rFonts w:ascii="Arial" w:hAnsi="Arial" w:cs="Arial"/>
                <w:sz w:val="18"/>
                <w:szCs w:val="18"/>
              </w:rPr>
              <w:t xml:space="preserve"> Paneto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autoSpaceDE w:val="0"/>
              <w:snapToGrid w:val="0"/>
              <w:spacing w:line="240" w:lineRule="atLeast"/>
              <w:jc w:val="center"/>
              <w:rPr>
                <w:rFonts w:ascii="Tw Cen MT" w:hAnsi="Tw Cen MT" w:cs="Tw Cen MT"/>
                <w:sz w:val="22"/>
                <w:szCs w:val="22"/>
              </w:rPr>
            </w:pPr>
            <w:proofErr w:type="spellStart"/>
            <w:r>
              <w:rPr>
                <w:rFonts w:ascii="Tw Cen MT" w:hAnsi="Tw Cen MT" w:cs="Tw Cen MT"/>
                <w:b/>
                <w:sz w:val="22"/>
                <w:szCs w:val="22"/>
              </w:rPr>
              <w:t>Duration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Pr="00BD7FFA" w:rsidRDefault="00BD7FFA">
            <w:pPr>
              <w:snapToGrid w:val="0"/>
              <w:jc w:val="center"/>
              <w:rPr>
                <w:rFonts w:ascii="Tw Cen MT" w:hAnsi="Tw Cen MT" w:cs="Tw Cen MT"/>
                <w:sz w:val="22"/>
                <w:szCs w:val="22"/>
              </w:rPr>
            </w:pPr>
            <w:r w:rsidRPr="00583A3E">
              <w:rPr>
                <w:rFonts w:ascii="Arial" w:hAnsi="Arial" w:cs="Arial"/>
                <w:sz w:val="18"/>
                <w:szCs w:val="18"/>
              </w:rPr>
              <w:t xml:space="preserve">2 </w:t>
            </w:r>
            <w:proofErr w:type="spellStart"/>
            <w:r w:rsidRPr="00583A3E">
              <w:rPr>
                <w:rFonts w:ascii="Arial" w:hAnsi="Arial" w:cs="Arial"/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autoSpaceDE w:val="0"/>
              <w:snapToGrid w:val="0"/>
              <w:jc w:val="center"/>
              <w:rPr>
                <w:rFonts w:ascii="Tw Cen MT" w:eastAsia="SimSun" w:hAnsi="Tw Cen MT" w:cs="Tw Cen MT"/>
                <w:sz w:val="22"/>
                <w:szCs w:val="22"/>
              </w:rPr>
            </w:pPr>
            <w:proofErr w:type="spellStart"/>
            <w:r>
              <w:rPr>
                <w:rFonts w:ascii="Tw Cen MT" w:hAnsi="Tw Cen MT" w:cs="Tw Cen MT"/>
                <w:b/>
                <w:sz w:val="22"/>
                <w:szCs w:val="22"/>
              </w:rPr>
              <w:t>Location</w:t>
            </w:r>
            <w:proofErr w:type="spellEnd"/>
            <w:r>
              <w:rPr>
                <w:rFonts w:ascii="Tw Cen MT" w:hAnsi="Tw Cen MT" w:cs="Tw Cen MT"/>
                <w:b/>
                <w:sz w:val="22"/>
                <w:szCs w:val="22"/>
              </w:rPr>
              <w:t>: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9B8" w:rsidRDefault="00BD7FFA">
            <w:pPr>
              <w:snapToGrid w:val="0"/>
              <w:jc w:val="center"/>
              <w:rPr>
                <w:rFonts w:ascii="Tw Cen MT" w:hAnsi="Tw Cen MT" w:cs="Tw Cen MT"/>
                <w:b/>
                <w:sz w:val="22"/>
                <w:szCs w:val="22"/>
              </w:rPr>
            </w:pPr>
            <w:proofErr w:type="spellStart"/>
            <w:r w:rsidRPr="00583A3E">
              <w:rPr>
                <w:rFonts w:ascii="Arial" w:hAnsi="Arial" w:cs="Arial"/>
                <w:sz w:val="18"/>
                <w:szCs w:val="18"/>
              </w:rPr>
              <w:t>Webex</w:t>
            </w:r>
            <w:proofErr w:type="spellEnd"/>
            <w:r w:rsidR="00B649B8" w:rsidRPr="00583A3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53909" w:rsidTr="00453909">
        <w:trPr>
          <w:cantSplit/>
          <w:trHeight w:val="477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3909" w:rsidRDefault="00453909" w:rsidP="00453909">
            <w:pPr>
              <w:snapToGrid w:val="0"/>
              <w:jc w:val="center"/>
              <w:rPr>
                <w:rFonts w:ascii="Tw Cen MT" w:hAnsi="Tw Cen MT" w:cs="Tw Cen MT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w Cen MT" w:hAnsi="Tw Cen MT" w:cs="Tw Cen MT"/>
                <w:b/>
                <w:sz w:val="22"/>
                <w:szCs w:val="22"/>
              </w:rPr>
              <w:t>Invited</w:t>
            </w:r>
            <w:proofErr w:type="spellEnd"/>
            <w:r>
              <w:rPr>
                <w:rFonts w:ascii="Tw Cen MT" w:hAnsi="Tw Cen MT" w:cs="Tw Cen MT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92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3909" w:rsidRPr="00583A3E" w:rsidRDefault="00453909" w:rsidP="00453909">
            <w:pPr>
              <w:tabs>
                <w:tab w:val="left" w:pos="360"/>
              </w:tabs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83A3E">
              <w:rPr>
                <w:rFonts w:ascii="Arial" w:hAnsi="Arial" w:cs="Arial"/>
                <w:sz w:val="18"/>
                <w:szCs w:val="18"/>
              </w:rPr>
              <w:t>Wildo</w:t>
            </w:r>
            <w:r>
              <w:rPr>
                <w:rFonts w:ascii="Arial" w:hAnsi="Arial" w:cs="Arial"/>
                <w:sz w:val="18"/>
                <w:szCs w:val="18"/>
              </w:rPr>
              <w:t xml:space="preserve"> Martins</w:t>
            </w:r>
            <w:r w:rsidRPr="00583A3E">
              <w:rPr>
                <w:rFonts w:ascii="Arial" w:hAnsi="Arial" w:cs="Arial"/>
                <w:sz w:val="18"/>
                <w:szCs w:val="18"/>
              </w:rPr>
              <w:t xml:space="preserve"> / Renan </w:t>
            </w:r>
            <w:r>
              <w:rPr>
                <w:rFonts w:ascii="Arial" w:hAnsi="Arial" w:cs="Arial"/>
                <w:sz w:val="18"/>
                <w:szCs w:val="18"/>
              </w:rPr>
              <w:t xml:space="preserve">Oliveira </w:t>
            </w:r>
            <w:r w:rsidRPr="00583A3E">
              <w:rPr>
                <w:rFonts w:ascii="Arial" w:hAnsi="Arial" w:cs="Arial"/>
                <w:sz w:val="18"/>
                <w:szCs w:val="18"/>
              </w:rPr>
              <w:t xml:space="preserve">/ Emanuel </w:t>
            </w:r>
            <w:r>
              <w:rPr>
                <w:rFonts w:ascii="Arial" w:hAnsi="Arial" w:cs="Arial"/>
                <w:sz w:val="18"/>
                <w:szCs w:val="18"/>
              </w:rPr>
              <w:t xml:space="preserve">Stein </w:t>
            </w:r>
            <w:r w:rsidRPr="00583A3E">
              <w:rPr>
                <w:rFonts w:ascii="Arial" w:hAnsi="Arial" w:cs="Arial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sz w:val="18"/>
                <w:szCs w:val="18"/>
              </w:rPr>
              <w:t xml:space="preserve">Marcelo </w:t>
            </w:r>
            <w:r w:rsidRPr="00583A3E">
              <w:rPr>
                <w:rFonts w:ascii="Arial" w:hAnsi="Arial" w:cs="Arial"/>
                <w:sz w:val="18"/>
                <w:szCs w:val="18"/>
              </w:rPr>
              <w:t>Mello / Michele</w:t>
            </w:r>
            <w:r>
              <w:rPr>
                <w:rFonts w:ascii="Arial" w:hAnsi="Arial" w:cs="Arial"/>
                <w:sz w:val="18"/>
                <w:szCs w:val="18"/>
              </w:rPr>
              <w:t xml:space="preserve"> Martins / Carla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Marchesi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Geydel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Marozzi</w:t>
            </w:r>
            <w:proofErr w:type="spellEnd"/>
            <w:r w:rsidR="005465AD">
              <w:rPr>
                <w:rFonts w:ascii="Arial" w:hAnsi="Arial" w:cs="Arial"/>
                <w:sz w:val="18"/>
                <w:szCs w:val="18"/>
              </w:rPr>
              <w:t xml:space="preserve"> / Lucio Wagner</w:t>
            </w:r>
          </w:p>
        </w:tc>
      </w:tr>
      <w:tr w:rsidR="00453909" w:rsidTr="00453909">
        <w:trPr>
          <w:cantSplit/>
          <w:trHeight w:val="477"/>
        </w:trPr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3909" w:rsidRDefault="00453909" w:rsidP="00453909">
            <w:pPr>
              <w:snapToGrid w:val="0"/>
              <w:jc w:val="center"/>
              <w:rPr>
                <w:rFonts w:ascii="Tw Cen MT" w:hAnsi="Tw Cen MT" w:cs="Tw Cen MT"/>
                <w:sz w:val="22"/>
                <w:szCs w:val="22"/>
              </w:rPr>
            </w:pPr>
            <w:proofErr w:type="gramStart"/>
            <w:r>
              <w:rPr>
                <w:rFonts w:ascii="Tw Cen MT" w:hAnsi="Tw Cen MT" w:cs="Tw Cen MT"/>
                <w:b/>
                <w:sz w:val="22"/>
                <w:szCs w:val="22"/>
              </w:rPr>
              <w:t>Attendees :</w:t>
            </w:r>
            <w:proofErr w:type="gramEnd"/>
          </w:p>
        </w:tc>
        <w:tc>
          <w:tcPr>
            <w:tcW w:w="926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3909" w:rsidRPr="00583A3E" w:rsidRDefault="00453909" w:rsidP="00453909">
            <w:pPr>
              <w:tabs>
                <w:tab w:val="left" w:pos="360"/>
              </w:tabs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83A3E">
              <w:rPr>
                <w:rFonts w:ascii="Arial" w:hAnsi="Arial" w:cs="Arial"/>
                <w:sz w:val="18"/>
                <w:szCs w:val="18"/>
              </w:rPr>
              <w:t xml:space="preserve">Emanuel </w:t>
            </w:r>
            <w:r>
              <w:rPr>
                <w:rFonts w:ascii="Arial" w:hAnsi="Arial" w:cs="Arial"/>
                <w:sz w:val="18"/>
                <w:szCs w:val="18"/>
              </w:rPr>
              <w:t xml:space="preserve">Stein </w:t>
            </w:r>
            <w:r w:rsidRPr="00583A3E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5465AD">
              <w:rPr>
                <w:rFonts w:ascii="Arial" w:hAnsi="Arial" w:cs="Arial"/>
                <w:sz w:val="18"/>
                <w:szCs w:val="18"/>
              </w:rPr>
              <w:t>Lucio Wagner</w:t>
            </w:r>
          </w:p>
        </w:tc>
      </w:tr>
    </w:tbl>
    <w:p w:rsidR="00B649B8" w:rsidRDefault="00B649B8"/>
    <w:tbl>
      <w:tblPr>
        <w:tblW w:w="0" w:type="auto"/>
        <w:tblInd w:w="-489" w:type="dxa"/>
        <w:tblLayout w:type="fixed"/>
        <w:tblLook w:val="0000" w:firstRow="0" w:lastRow="0" w:firstColumn="0" w:lastColumn="0" w:noHBand="0" w:noVBand="0"/>
      </w:tblPr>
      <w:tblGrid>
        <w:gridCol w:w="11259"/>
      </w:tblGrid>
      <w:tr w:rsidR="00B649B8">
        <w:trPr>
          <w:trHeight w:val="301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649B8" w:rsidRDefault="00B649B8">
            <w:pPr>
              <w:pStyle w:val="Standard1"/>
              <w:snapToGrid w:val="0"/>
              <w:rPr>
                <w:rFonts w:ascii="Tw Cen MT" w:hAnsi="Tw Cen MT" w:cs="Tw Cen MT"/>
                <w:lang w:val="en-AU"/>
              </w:rPr>
            </w:pPr>
            <w:r>
              <w:rPr>
                <w:rFonts w:ascii="Tw Cen MT" w:hAnsi="Tw Cen MT" w:cs="Tw Cen MT"/>
                <w:b/>
                <w:sz w:val="22"/>
              </w:rPr>
              <w:t>Agenda</w:t>
            </w:r>
          </w:p>
        </w:tc>
      </w:tr>
      <w:tr w:rsidR="00B649B8">
        <w:trPr>
          <w:trHeight w:val="275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9B8" w:rsidRPr="00BD7FFA" w:rsidRDefault="00124BF8" w:rsidP="00BD7FFA">
            <w:pPr>
              <w:pStyle w:val="PargrafodaLista"/>
              <w:tabs>
                <w:tab w:val="left" w:pos="360"/>
              </w:tabs>
              <w:snapToGrid w:val="0"/>
              <w:spacing w:after="120"/>
              <w:ind w:left="2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KT do </w:t>
            </w:r>
            <w:r w:rsidR="009628B2" w:rsidRPr="004003C1">
              <w:rPr>
                <w:rFonts w:ascii="Arial" w:hAnsi="Arial" w:cs="Arial"/>
                <w:sz w:val="18"/>
                <w:szCs w:val="18"/>
              </w:rPr>
              <w:t>VIP</w:t>
            </w:r>
            <w:r w:rsidR="009628B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628B2">
              <w:rPr>
                <w:rFonts w:ascii="Arial" w:hAnsi="Arial" w:cs="Arial"/>
                <w:sz w:val="18"/>
                <w:szCs w:val="18"/>
              </w:rPr>
              <w:t>Logistica</w:t>
            </w:r>
            <w:proofErr w:type="spellEnd"/>
            <w:r w:rsidR="009628B2">
              <w:rPr>
                <w:rFonts w:ascii="Arial" w:hAnsi="Arial" w:cs="Arial"/>
                <w:sz w:val="18"/>
                <w:szCs w:val="18"/>
              </w:rPr>
              <w:t xml:space="preserve"> -</w:t>
            </w:r>
            <w:r w:rsidR="009628B2" w:rsidRPr="004003C1">
              <w:rPr>
                <w:rFonts w:ascii="Arial" w:hAnsi="Arial" w:cs="Arial"/>
                <w:sz w:val="18"/>
                <w:szCs w:val="18"/>
              </w:rPr>
              <w:t xml:space="preserve"> Portos</w:t>
            </w:r>
          </w:p>
          <w:p w:rsidR="004A424E" w:rsidRPr="00BF6B36" w:rsidRDefault="004A424E" w:rsidP="004A424E">
            <w:pPr>
              <w:pStyle w:val="PargrafodaLista"/>
              <w:tabs>
                <w:tab w:val="left" w:pos="360"/>
              </w:tabs>
              <w:snapToGrid w:val="0"/>
              <w:spacing w:after="120"/>
              <w:ind w:left="1401"/>
              <w:rPr>
                <w:rFonts w:ascii="Tw Cen MT" w:hAnsi="Tw Cen MT" w:cs="Tw Cen MT"/>
              </w:rPr>
            </w:pPr>
          </w:p>
        </w:tc>
      </w:tr>
    </w:tbl>
    <w:p w:rsidR="00B649B8" w:rsidRDefault="00B649B8"/>
    <w:tbl>
      <w:tblPr>
        <w:tblW w:w="0" w:type="auto"/>
        <w:tblInd w:w="-489" w:type="dxa"/>
        <w:tblLayout w:type="fixed"/>
        <w:tblLook w:val="0000" w:firstRow="0" w:lastRow="0" w:firstColumn="0" w:lastColumn="0" w:noHBand="0" w:noVBand="0"/>
      </w:tblPr>
      <w:tblGrid>
        <w:gridCol w:w="11259"/>
      </w:tblGrid>
      <w:tr w:rsidR="00B649B8">
        <w:trPr>
          <w:trHeight w:val="351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649B8" w:rsidRDefault="00B649B8">
            <w:pPr>
              <w:pStyle w:val="Standard1"/>
              <w:snapToGrid w:val="0"/>
              <w:rPr>
                <w:rFonts w:ascii="Tw Cen MT" w:hAnsi="Tw Cen MT" w:cs="Tw Cen MT"/>
              </w:rPr>
            </w:pPr>
            <w:r>
              <w:rPr>
                <w:rFonts w:ascii="Tw Cen MT" w:hAnsi="Tw Cen MT" w:cs="Tw Cen MT"/>
                <w:b/>
                <w:sz w:val="22"/>
                <w:szCs w:val="28"/>
              </w:rPr>
              <w:t>Discussion points and Notes</w:t>
            </w:r>
          </w:p>
        </w:tc>
      </w:tr>
      <w:tr w:rsidR="00B649B8">
        <w:trPr>
          <w:trHeight w:val="293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9B8" w:rsidRPr="00BD7FFA" w:rsidRDefault="00B649B8" w:rsidP="004A424E">
            <w:pPr>
              <w:pStyle w:val="PargrafodaLista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  <w:sz w:val="18"/>
                <w:szCs w:val="18"/>
              </w:rPr>
            </w:pPr>
          </w:p>
          <w:p w:rsidR="00BD7FFA" w:rsidRDefault="00BD7FFA" w:rsidP="00BD7FFA">
            <w:pPr>
              <w:pStyle w:val="PargrafodaLista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Emanuel conduziu o KT da</w:t>
            </w:r>
            <w:r w:rsidR="0041585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A7844">
              <w:rPr>
                <w:rFonts w:ascii="Arial" w:hAnsi="Arial" w:cs="Arial"/>
                <w:sz w:val="18"/>
                <w:szCs w:val="18"/>
              </w:rPr>
              <w:t>aplicação nos seguintes dias: 11/03/19, 12</w:t>
            </w:r>
            <w:r w:rsidR="0041585A">
              <w:rPr>
                <w:rFonts w:ascii="Arial" w:hAnsi="Arial" w:cs="Arial"/>
                <w:sz w:val="18"/>
                <w:szCs w:val="18"/>
              </w:rPr>
              <w:t>/03/19 e</w:t>
            </w:r>
            <w:r w:rsidR="006A7844">
              <w:rPr>
                <w:rFonts w:ascii="Arial" w:hAnsi="Arial" w:cs="Arial"/>
                <w:sz w:val="18"/>
                <w:szCs w:val="18"/>
              </w:rPr>
              <w:t xml:space="preserve"> 14/03/19</w:t>
            </w:r>
            <w:r w:rsidR="0041585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F18E5" w:rsidRDefault="00EF18E5" w:rsidP="00BD7FFA">
            <w:pPr>
              <w:pStyle w:val="PargrafodaLista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Foi alinhado com o Emanuel para que ele identifique quais documentos no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sharepoint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 Vale devem ser considerados para cada KT a ser realizado, devido ao </w:t>
            </w:r>
            <w:r w:rsidR="000946A6">
              <w:rPr>
                <w:rFonts w:ascii="Arial" w:hAnsi="Arial" w:cs="Arial"/>
                <w:sz w:val="18"/>
                <w:szCs w:val="18"/>
              </w:rPr>
              <w:t xml:space="preserve">grande </w:t>
            </w:r>
            <w:r>
              <w:rPr>
                <w:rFonts w:ascii="Arial" w:hAnsi="Arial" w:cs="Arial"/>
                <w:sz w:val="18"/>
                <w:szCs w:val="18"/>
              </w:rPr>
              <w:t>volume de arquivos disponíveis</w:t>
            </w:r>
            <w:r w:rsidR="000946A6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A424E" w:rsidRDefault="000946A6" w:rsidP="006A7844">
            <w:pPr>
              <w:pStyle w:val="PargrafodaLista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Emanuel informou que os documentos de carga (AM583) estão atualizados no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sharepoint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 Vale para todas as frentes de BI e Integração de Dados</w:t>
            </w:r>
            <w:r w:rsidR="0041585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106BF" w:rsidRDefault="006A7844" w:rsidP="004106BF">
            <w:pPr>
              <w:pStyle w:val="PargrafodaLista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Lucio pediu que a TCS comece a atender os chamados o quanto antes com o apoio do Emanuel.</w:t>
            </w:r>
          </w:p>
          <w:p w:rsidR="004106BF" w:rsidRPr="004106BF" w:rsidRDefault="00500315" w:rsidP="004106BF">
            <w:pPr>
              <w:pStyle w:val="PargrafodaLista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Lucio informou que </w:t>
            </w:r>
            <w:bookmarkStart w:id="1" w:name="_GoBack"/>
            <w:r>
              <w:rPr>
                <w:rFonts w:ascii="Arial" w:hAnsi="Arial" w:cs="Arial"/>
                <w:sz w:val="18"/>
                <w:szCs w:val="18"/>
              </w:rPr>
              <w:t xml:space="preserve">não há plantão de BI </w:t>
            </w:r>
            <w:r w:rsidRPr="00500315">
              <w:rPr>
                <w:rFonts w:ascii="Arial" w:hAnsi="Arial" w:cs="Arial"/>
                <w:sz w:val="18"/>
                <w:szCs w:val="18"/>
              </w:rPr>
              <w:t>atualmente pelo time funcional</w:t>
            </w:r>
            <w:r w:rsidRPr="0050031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500315">
              <w:rPr>
                <w:rFonts w:ascii="Arial" w:hAnsi="Arial" w:cs="Arial"/>
                <w:sz w:val="18"/>
                <w:szCs w:val="18"/>
              </w:rPr>
              <w:t xml:space="preserve">Existe plantão para falhas de </w:t>
            </w:r>
            <w:proofErr w:type="spellStart"/>
            <w:r w:rsidRPr="00500315">
              <w:rPr>
                <w:rFonts w:ascii="Arial" w:hAnsi="Arial" w:cs="Arial"/>
                <w:sz w:val="18"/>
                <w:szCs w:val="18"/>
              </w:rPr>
              <w:t>jobs</w:t>
            </w:r>
            <w:proofErr w:type="spellEnd"/>
            <w:r w:rsidRPr="00500315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500315">
              <w:rPr>
                <w:rFonts w:ascii="Arial" w:hAnsi="Arial" w:cs="Arial"/>
                <w:sz w:val="18"/>
                <w:szCs w:val="18"/>
              </w:rPr>
              <w:t>control-m</w:t>
            </w:r>
            <w:proofErr w:type="spellEnd"/>
            <w:r w:rsidRPr="00500315">
              <w:rPr>
                <w:rFonts w:ascii="Arial" w:hAnsi="Arial" w:cs="Arial"/>
                <w:sz w:val="18"/>
                <w:szCs w:val="18"/>
              </w:rPr>
              <w:t xml:space="preserve"> fora do horário, onde os chamados são direcionados para o time ADM Ambientes, que possuem plantão da plataforma </w:t>
            </w:r>
            <w:proofErr w:type="spellStart"/>
            <w:r w:rsidRPr="00500315">
              <w:rPr>
                <w:rFonts w:ascii="Arial" w:hAnsi="Arial" w:cs="Arial"/>
                <w:sz w:val="18"/>
                <w:szCs w:val="18"/>
              </w:rPr>
              <w:t>Informatica</w:t>
            </w:r>
            <w:proofErr w:type="spellEnd"/>
            <w:r w:rsidRPr="00500315">
              <w:rPr>
                <w:rFonts w:ascii="Arial" w:hAnsi="Arial" w:cs="Arial"/>
                <w:sz w:val="18"/>
                <w:szCs w:val="18"/>
              </w:rPr>
              <w:t xml:space="preserve">, e atuam nestes casos de chamados de cadeia que falham fora do horário comercial vindos do </w:t>
            </w:r>
            <w:proofErr w:type="spellStart"/>
            <w:r w:rsidRPr="00500315">
              <w:rPr>
                <w:rFonts w:ascii="Arial" w:hAnsi="Arial" w:cs="Arial"/>
                <w:sz w:val="18"/>
                <w:szCs w:val="18"/>
              </w:rPr>
              <w:t>control-m</w:t>
            </w:r>
            <w:proofErr w:type="spellEnd"/>
            <w:r w:rsidRPr="00500315">
              <w:rPr>
                <w:rFonts w:ascii="Arial" w:hAnsi="Arial" w:cs="Arial"/>
                <w:sz w:val="18"/>
                <w:szCs w:val="18"/>
              </w:rPr>
              <w:t>.</w:t>
            </w:r>
            <w:bookmarkEnd w:id="1"/>
          </w:p>
          <w:p w:rsidR="004A424E" w:rsidRDefault="004A424E" w:rsidP="004A424E">
            <w:pPr>
              <w:pStyle w:val="PargrafodaLista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PargrafodaLista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</w:tc>
      </w:tr>
    </w:tbl>
    <w:p w:rsidR="00B649B8" w:rsidRDefault="00B649B8"/>
    <w:tbl>
      <w:tblPr>
        <w:tblW w:w="11395" w:type="dxa"/>
        <w:tblInd w:w="-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  <w:gridCol w:w="5373"/>
        <w:gridCol w:w="866"/>
        <w:gridCol w:w="1306"/>
        <w:gridCol w:w="2085"/>
        <w:gridCol w:w="1075"/>
      </w:tblGrid>
      <w:tr w:rsidR="00B649B8" w:rsidTr="00F86BFC">
        <w:trPr>
          <w:trHeight w:val="194"/>
          <w:tblHeader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Ttulo1"/>
              <w:snapToGrid w:val="0"/>
              <w:jc w:val="center"/>
              <w:rPr>
                <w:rFonts w:ascii="Tw Cen MT" w:hAnsi="Tw Cen MT" w:cs="Tw Cen MT"/>
              </w:rPr>
            </w:pPr>
            <w:r>
              <w:rPr>
                <w:rFonts w:ascii="Tw Cen MT" w:hAnsi="Tw Cen MT" w:cs="Tw Cen MT"/>
              </w:rPr>
              <w:t>S.No.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Ttulo1"/>
              <w:snapToGrid w:val="0"/>
              <w:jc w:val="center"/>
              <w:rPr>
                <w:rFonts w:ascii="Tw Cen MT" w:hAnsi="Tw Cen MT" w:cs="Tw Cen MT"/>
              </w:rPr>
            </w:pPr>
            <w:r>
              <w:rPr>
                <w:rFonts w:ascii="Tw Cen MT" w:hAnsi="Tw Cen MT" w:cs="Tw Cen MT"/>
              </w:rPr>
              <w:t>Action Items Raised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Status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Assigned To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Expected</w:t>
            </w:r>
          </w:p>
          <w:p w:rsidR="00B649B8" w:rsidRDefault="00B649B8">
            <w:pPr>
              <w:pStyle w:val="Standard"/>
              <w:tabs>
                <w:tab w:val="left" w:pos="-1440"/>
              </w:tabs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Completion Date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Closure  Date</w:t>
            </w:r>
          </w:p>
        </w:tc>
      </w:tr>
      <w:tr w:rsidR="005465AD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465AD" w:rsidRDefault="005465AD" w:rsidP="005465AD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  <w:r>
              <w:rPr>
                <w:rFonts w:ascii="Tw Cen MT" w:hAnsi="Tw Cen MT" w:cs="Tw Cen MT"/>
                <w:sz w:val="20"/>
                <w:szCs w:val="20"/>
              </w:rPr>
              <w:t>1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465AD" w:rsidRPr="00BD7FFA" w:rsidRDefault="005465AD" w:rsidP="005465AD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Durante 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shadow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rever os principais chamados históricos, listados pela Accenture e definidos pela TCS.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465AD" w:rsidRPr="00BD7FFA" w:rsidRDefault="005465AD" w:rsidP="005465A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Pendente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465AD" w:rsidRPr="00BD7FFA" w:rsidRDefault="005465AD" w:rsidP="005465AD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Emanuel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465AD" w:rsidRPr="00BD7FFA" w:rsidRDefault="005465AD" w:rsidP="005465AD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 xml:space="preserve">Final do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>shadow</w:t>
            </w:r>
            <w:proofErr w:type="spellEnd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465AD" w:rsidRPr="00BD7FFA" w:rsidRDefault="005465AD" w:rsidP="005465AD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</w:tc>
      </w:tr>
      <w:tr w:rsidR="00453909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53909" w:rsidRDefault="00453909" w:rsidP="00453909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  <w:r>
              <w:rPr>
                <w:rFonts w:ascii="Tw Cen MT" w:eastAsia="SimSun" w:hAnsi="Tw Cen MT" w:cs="Tw Cen MT"/>
              </w:rPr>
              <w:t>2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53909" w:rsidRPr="00BD7FFA" w:rsidRDefault="00EF18E5" w:rsidP="00453909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Listar os principais documentos do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sharepoint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Vale que devem ser levados em consideração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53909" w:rsidRPr="00BD7FFA" w:rsidRDefault="00EF18E5" w:rsidP="00453909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Pendente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53909" w:rsidRPr="00BD7FFA" w:rsidRDefault="00EF18E5" w:rsidP="00453909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Emanuel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53909" w:rsidRPr="00BD7FFA" w:rsidRDefault="009E24F1" w:rsidP="00453909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 xml:space="preserve">Antes </w:t>
            </w:r>
            <w:r w:rsidR="00E55483"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 xml:space="preserve">do </w:t>
            </w:r>
            <w:proofErr w:type="spellStart"/>
            <w:r w:rsidR="00E55483"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>shadow</w:t>
            </w:r>
            <w:proofErr w:type="spellEnd"/>
            <w:r w:rsidR="00B47ADB"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 xml:space="preserve"> reverse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3909" w:rsidRPr="00BD7FFA" w:rsidRDefault="00453909" w:rsidP="00453909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  <w:p w:rsidR="00453909" w:rsidRPr="00BD7FFA" w:rsidRDefault="00453909" w:rsidP="00453909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</w:tc>
      </w:tr>
      <w:tr w:rsidR="00B47ADB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Default="00B47ADB" w:rsidP="00B47ADB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  <w:r>
              <w:rPr>
                <w:rFonts w:ascii="Tw Cen MT" w:eastAsia="SimSun" w:hAnsi="Tw Cen MT" w:cs="Tw Cen MT"/>
              </w:rPr>
              <w:t>3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 os e-mails de comunicação padrão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Pendente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Emanuel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 xml:space="preserve">Antes do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>shadow</w:t>
            </w:r>
            <w:proofErr w:type="spellEnd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  <w:t xml:space="preserve"> reverse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</w:tc>
      </w:tr>
      <w:tr w:rsidR="00B47ADB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Default="00B47ADB" w:rsidP="00B47ADB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  <w:r>
              <w:rPr>
                <w:rFonts w:ascii="Tw Cen MT" w:eastAsia="SimSun" w:hAnsi="Tw Cen MT" w:cs="Tw Cen MT"/>
              </w:rPr>
              <w:t>4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</w:tc>
      </w:tr>
      <w:tr w:rsidR="00B47ADB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Default="00B47ADB" w:rsidP="00B47ADB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PargrafodaLista"/>
              <w:snapToGri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7ADB" w:rsidRPr="00BD7FFA" w:rsidRDefault="00B47ADB" w:rsidP="00B47ADB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val="pt-BR" w:eastAsia="ar-SA" w:bidi="ar-SA"/>
              </w:rPr>
            </w:pPr>
          </w:p>
        </w:tc>
      </w:tr>
    </w:tbl>
    <w:p w:rsidR="00B649B8" w:rsidRDefault="00B649B8"/>
    <w:sectPr w:rsidR="00B649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008" w:bottom="7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324" w:rsidRDefault="00D91324">
      <w:r>
        <w:separator/>
      </w:r>
    </w:p>
  </w:endnote>
  <w:endnote w:type="continuationSeparator" w:id="0">
    <w:p w:rsidR="00D91324" w:rsidRDefault="00D9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B8" w:rsidRDefault="00B649B8">
    <w:pPr>
      <w:pStyle w:val="Rodap"/>
      <w:pBdr>
        <w:bottom w:val="single" w:sz="8" w:space="1" w:color="000000"/>
      </w:pBdr>
      <w:tabs>
        <w:tab w:val="right" w:pos="10620"/>
      </w:tabs>
      <w:ind w:left="-540" w:right="-396"/>
      <w:rPr>
        <w:rFonts w:ascii="Comic Sans MS" w:hAnsi="Comic Sans MS" w:cs="Comic Sans MS"/>
      </w:rPr>
    </w:pPr>
  </w:p>
  <w:p w:rsidR="00B649B8" w:rsidRDefault="00B649B8">
    <w:pPr>
      <w:pStyle w:val="Rodap"/>
      <w:tabs>
        <w:tab w:val="center" w:pos="5040"/>
        <w:tab w:val="right" w:pos="10620"/>
      </w:tabs>
      <w:ind w:left="-540" w:right="-396"/>
    </w:pPr>
    <w:r>
      <w:rPr>
        <w:rFonts w:ascii="Calibri" w:hAnsi="Calibri" w:cs="Calibri"/>
        <w:sz w:val="22"/>
      </w:rPr>
      <w:t xml:space="preserve">Tata </w:t>
    </w:r>
    <w:proofErr w:type="spellStart"/>
    <w:r>
      <w:rPr>
        <w:rFonts w:ascii="Calibri" w:hAnsi="Calibri" w:cs="Calibri"/>
        <w:sz w:val="22"/>
      </w:rPr>
      <w:t>Consultancy</w:t>
    </w:r>
    <w:proofErr w:type="spellEnd"/>
    <w:r>
      <w:rPr>
        <w:rFonts w:ascii="Calibri" w:hAnsi="Calibri" w:cs="Calibri"/>
        <w:sz w:val="22"/>
      </w:rPr>
      <w:t xml:space="preserve"> Services </w:t>
    </w:r>
    <w:proofErr w:type="spellStart"/>
    <w:r>
      <w:rPr>
        <w:rFonts w:ascii="Calibri" w:hAnsi="Calibri" w:cs="Calibri"/>
        <w:sz w:val="22"/>
      </w:rPr>
      <w:t>Limited</w:t>
    </w:r>
    <w:proofErr w:type="spellEnd"/>
    <w:r>
      <w:rPr>
        <w:rFonts w:ascii="Comic Sans MS" w:hAnsi="Comic Sans MS" w:cs="Comic Sans MS"/>
      </w:rPr>
      <w:tab/>
    </w:r>
    <w:r>
      <w:rPr>
        <w:rFonts w:ascii="Comic Sans MS" w:hAnsi="Comic Sans MS" w:cs="Comic Sans MS"/>
      </w:rPr>
      <w:tab/>
    </w:r>
    <w:r>
      <w:rPr>
        <w:rFonts w:ascii="Calibri" w:hAnsi="Calibri" w:cs="Calibri"/>
        <w:sz w:val="22"/>
      </w:rPr>
      <w:t xml:space="preserve">Page </w:t>
    </w:r>
    <w:r>
      <w:rPr>
        <w:rFonts w:cs="Calibri"/>
        <w:sz w:val="22"/>
      </w:rPr>
      <w:fldChar w:fldCharType="begin"/>
    </w:r>
    <w:r>
      <w:rPr>
        <w:rFonts w:cs="Calibri"/>
        <w:sz w:val="22"/>
      </w:rPr>
      <w:instrText xml:space="preserve"> PAGE </w:instrText>
    </w:r>
    <w:r>
      <w:rPr>
        <w:rFonts w:cs="Calibri"/>
        <w:sz w:val="22"/>
      </w:rPr>
      <w:fldChar w:fldCharType="separate"/>
    </w:r>
    <w:r w:rsidR="00500315">
      <w:rPr>
        <w:rFonts w:cs="Calibri"/>
        <w:noProof/>
        <w:sz w:val="22"/>
      </w:rPr>
      <w:t>1</w:t>
    </w:r>
    <w:r>
      <w:rPr>
        <w:rFonts w:cs="Calibri"/>
        <w:sz w:val="22"/>
      </w:rPr>
      <w:fldChar w:fldCharType="end"/>
    </w:r>
    <w:r>
      <w:rPr>
        <w:rFonts w:ascii="Calibri" w:hAnsi="Calibri" w:cs="Calibri"/>
        <w:sz w:val="22"/>
      </w:rPr>
      <w:t xml:space="preserve"> </w:t>
    </w:r>
    <w:proofErr w:type="spellStart"/>
    <w:r>
      <w:rPr>
        <w:rFonts w:ascii="Calibri" w:hAnsi="Calibri" w:cs="Calibri"/>
        <w:sz w:val="22"/>
      </w:rPr>
      <w:t>of</w:t>
    </w:r>
    <w:proofErr w:type="spellEnd"/>
    <w:r>
      <w:rPr>
        <w:rFonts w:ascii="Calibri" w:hAnsi="Calibri" w:cs="Calibri"/>
        <w:sz w:val="22"/>
      </w:rPr>
      <w:t xml:space="preserve"> </w:t>
    </w:r>
    <w:r>
      <w:rPr>
        <w:rFonts w:cs="Calibri"/>
        <w:sz w:val="22"/>
      </w:rPr>
      <w:fldChar w:fldCharType="begin"/>
    </w:r>
    <w:r>
      <w:rPr>
        <w:rFonts w:cs="Calibri"/>
        <w:sz w:val="22"/>
      </w:rPr>
      <w:instrText xml:space="preserve"> NUMPAGES \*Arabic </w:instrText>
    </w:r>
    <w:r>
      <w:rPr>
        <w:rFonts w:cs="Calibri"/>
        <w:sz w:val="22"/>
      </w:rPr>
      <w:fldChar w:fldCharType="separate"/>
    </w:r>
    <w:r w:rsidR="00500315">
      <w:rPr>
        <w:rFonts w:cs="Calibri"/>
        <w:noProof/>
        <w:sz w:val="22"/>
      </w:rPr>
      <w:t>1</w:t>
    </w:r>
    <w:r>
      <w:rPr>
        <w:rFonts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324" w:rsidRDefault="00D91324">
      <w:r>
        <w:separator/>
      </w:r>
    </w:p>
  </w:footnote>
  <w:footnote w:type="continuationSeparator" w:id="0">
    <w:p w:rsidR="00D91324" w:rsidRDefault="00D91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B8" w:rsidRDefault="00B649B8">
    <w:pPr>
      <w:pStyle w:val="Cabealho"/>
      <w:pBdr>
        <w:bottom w:val="single" w:sz="8" w:space="1" w:color="000000"/>
      </w:pBdr>
      <w:tabs>
        <w:tab w:val="right" w:pos="10620"/>
      </w:tabs>
      <w:ind w:left="-540" w:right="-396"/>
      <w:rPr>
        <w:rFonts w:ascii="Comic Sans MS" w:hAnsi="Comic Sans MS" w:cs="Comic Sans MS"/>
      </w:rPr>
    </w:pPr>
    <w:r>
      <w:rPr>
        <w:rFonts w:ascii="Calibri" w:hAnsi="Calibri" w:cs="Calibri"/>
        <w:sz w:val="22"/>
      </w:rPr>
      <w:t xml:space="preserve">          </w:t>
    </w:r>
    <w:r w:rsidR="00DB5F44">
      <w:rPr>
        <w:noProof/>
        <w:lang w:eastAsia="pt-BR"/>
      </w:rPr>
      <w:drawing>
        <wp:inline distT="0" distB="0" distL="0" distR="0">
          <wp:extent cx="685800" cy="704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048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sz w:val="22"/>
      </w:rPr>
      <w:t xml:space="preserve">                                                                   </w:t>
    </w:r>
    <w:r>
      <w:rPr>
        <w:rFonts w:ascii="Calibri" w:hAnsi="Calibri" w:cs="Calibri"/>
        <w:b/>
        <w:sz w:val="22"/>
      </w:rPr>
      <w:t xml:space="preserve">Minutes </w:t>
    </w:r>
    <w:proofErr w:type="spellStart"/>
    <w:r>
      <w:rPr>
        <w:rFonts w:ascii="Calibri" w:hAnsi="Calibri" w:cs="Calibri"/>
        <w:b/>
        <w:sz w:val="22"/>
      </w:rPr>
      <w:t>of</w:t>
    </w:r>
    <w:proofErr w:type="spellEnd"/>
    <w:r>
      <w:rPr>
        <w:rFonts w:ascii="Calibri" w:hAnsi="Calibri" w:cs="Calibri"/>
        <w:b/>
        <w:sz w:val="22"/>
      </w:rPr>
      <w:t xml:space="preserve"> Meeting</w:t>
    </w:r>
    <w:r>
      <w:rPr>
        <w:rFonts w:ascii="Calibri" w:hAnsi="Calibri" w:cs="Calibri"/>
      </w:rPr>
      <w:tab/>
    </w:r>
    <w:r w:rsidR="00DB5F44" w:rsidRPr="00E164F6">
      <w:rPr>
        <w:noProof/>
        <w:lang w:eastAsia="pt-BR"/>
      </w:rPr>
      <w:drawing>
        <wp:inline distT="0" distB="0" distL="0" distR="0">
          <wp:extent cx="1285875" cy="638175"/>
          <wp:effectExtent l="0" t="0" r="9525" b="9525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</w:rPr>
      <w:t xml:space="preserve"> </w:t>
    </w:r>
  </w:p>
  <w:p w:rsidR="00B649B8" w:rsidRDefault="00B649B8">
    <w:pPr>
      <w:pStyle w:val="Cabealho"/>
      <w:ind w:left="-540" w:right="-396"/>
    </w:pPr>
    <w:r>
      <w:rPr>
        <w:rFonts w:ascii="Comic Sans MS" w:hAnsi="Comic Sans MS" w:cs="Comic Sans M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39"/>
        </w:tabs>
        <w:ind w:left="681" w:hanging="360"/>
      </w:pPr>
    </w:lvl>
  </w:abstractNum>
  <w:abstractNum w:abstractNumId="2" w15:restartNumberingAfterBreak="0">
    <w:nsid w:val="0D0942C1"/>
    <w:multiLevelType w:val="hybridMultilevel"/>
    <w:tmpl w:val="97A05614"/>
    <w:lvl w:ilvl="0" w:tplc="E026B8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97DC4"/>
    <w:multiLevelType w:val="hybridMultilevel"/>
    <w:tmpl w:val="9D8A42D4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4" w15:restartNumberingAfterBreak="0">
    <w:nsid w:val="49BB5F7F"/>
    <w:multiLevelType w:val="hybridMultilevel"/>
    <w:tmpl w:val="9B744782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 w15:restartNumberingAfterBreak="0">
    <w:nsid w:val="5C986E87"/>
    <w:multiLevelType w:val="hybridMultilevel"/>
    <w:tmpl w:val="DF2AE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944FA"/>
    <w:multiLevelType w:val="hybridMultilevel"/>
    <w:tmpl w:val="AE00DB00"/>
    <w:lvl w:ilvl="0" w:tplc="6F7089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w Cen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CC"/>
    <w:rsid w:val="00024C36"/>
    <w:rsid w:val="000278B0"/>
    <w:rsid w:val="00030166"/>
    <w:rsid w:val="00053663"/>
    <w:rsid w:val="00064752"/>
    <w:rsid w:val="0008196D"/>
    <w:rsid w:val="000831F8"/>
    <w:rsid w:val="00093F65"/>
    <w:rsid w:val="000946A6"/>
    <w:rsid w:val="000A1A2C"/>
    <w:rsid w:val="000C2028"/>
    <w:rsid w:val="000D7D2A"/>
    <w:rsid w:val="000E0CFE"/>
    <w:rsid w:val="00124BF8"/>
    <w:rsid w:val="00134ACE"/>
    <w:rsid w:val="00166248"/>
    <w:rsid w:val="00176BA8"/>
    <w:rsid w:val="00181633"/>
    <w:rsid w:val="001C048B"/>
    <w:rsid w:val="001C3C5B"/>
    <w:rsid w:val="001D444A"/>
    <w:rsid w:val="00243C1D"/>
    <w:rsid w:val="0027436A"/>
    <w:rsid w:val="002A5DDD"/>
    <w:rsid w:val="002B6500"/>
    <w:rsid w:val="002E4F6E"/>
    <w:rsid w:val="002E7BF0"/>
    <w:rsid w:val="002E7C7C"/>
    <w:rsid w:val="00300B4B"/>
    <w:rsid w:val="0030158C"/>
    <w:rsid w:val="00324118"/>
    <w:rsid w:val="00343AE6"/>
    <w:rsid w:val="00356FC7"/>
    <w:rsid w:val="003719AA"/>
    <w:rsid w:val="003A3950"/>
    <w:rsid w:val="003A3C1A"/>
    <w:rsid w:val="004003C1"/>
    <w:rsid w:val="004106BF"/>
    <w:rsid w:val="00411E65"/>
    <w:rsid w:val="0041585A"/>
    <w:rsid w:val="00453909"/>
    <w:rsid w:val="004662BC"/>
    <w:rsid w:val="0048711C"/>
    <w:rsid w:val="004A15BA"/>
    <w:rsid w:val="004A424E"/>
    <w:rsid w:val="004A7C18"/>
    <w:rsid w:val="004B5062"/>
    <w:rsid w:val="004D7606"/>
    <w:rsid w:val="00500315"/>
    <w:rsid w:val="0053022E"/>
    <w:rsid w:val="00537132"/>
    <w:rsid w:val="005465AD"/>
    <w:rsid w:val="00565D14"/>
    <w:rsid w:val="00576584"/>
    <w:rsid w:val="00583A3E"/>
    <w:rsid w:val="00595378"/>
    <w:rsid w:val="005B154F"/>
    <w:rsid w:val="005C090B"/>
    <w:rsid w:val="00624E65"/>
    <w:rsid w:val="00625154"/>
    <w:rsid w:val="00634D2B"/>
    <w:rsid w:val="00634DE6"/>
    <w:rsid w:val="0066049F"/>
    <w:rsid w:val="00667135"/>
    <w:rsid w:val="00681671"/>
    <w:rsid w:val="006A7844"/>
    <w:rsid w:val="006C1466"/>
    <w:rsid w:val="006C6711"/>
    <w:rsid w:val="006D5C6D"/>
    <w:rsid w:val="00703D64"/>
    <w:rsid w:val="00712889"/>
    <w:rsid w:val="00713C11"/>
    <w:rsid w:val="007535D0"/>
    <w:rsid w:val="00791F43"/>
    <w:rsid w:val="00795F3E"/>
    <w:rsid w:val="007D6B1B"/>
    <w:rsid w:val="007F44E5"/>
    <w:rsid w:val="00853624"/>
    <w:rsid w:val="00874A25"/>
    <w:rsid w:val="00881C77"/>
    <w:rsid w:val="00886E97"/>
    <w:rsid w:val="008C06CD"/>
    <w:rsid w:val="008C7B47"/>
    <w:rsid w:val="008D65BC"/>
    <w:rsid w:val="008E569F"/>
    <w:rsid w:val="008F7E45"/>
    <w:rsid w:val="0091449F"/>
    <w:rsid w:val="00947D93"/>
    <w:rsid w:val="0095301F"/>
    <w:rsid w:val="009628B2"/>
    <w:rsid w:val="009E24F1"/>
    <w:rsid w:val="009E3EB8"/>
    <w:rsid w:val="009F1E44"/>
    <w:rsid w:val="00A057A7"/>
    <w:rsid w:val="00A07A55"/>
    <w:rsid w:val="00A07EBF"/>
    <w:rsid w:val="00A14305"/>
    <w:rsid w:val="00A37D55"/>
    <w:rsid w:val="00A5364A"/>
    <w:rsid w:val="00A72A1A"/>
    <w:rsid w:val="00A77E18"/>
    <w:rsid w:val="00A84E7D"/>
    <w:rsid w:val="00A97692"/>
    <w:rsid w:val="00AA0FA8"/>
    <w:rsid w:val="00AD2C9C"/>
    <w:rsid w:val="00AD70CC"/>
    <w:rsid w:val="00B10A53"/>
    <w:rsid w:val="00B1207D"/>
    <w:rsid w:val="00B32844"/>
    <w:rsid w:val="00B42ECE"/>
    <w:rsid w:val="00B47ADB"/>
    <w:rsid w:val="00B63B06"/>
    <w:rsid w:val="00B649B8"/>
    <w:rsid w:val="00B8746E"/>
    <w:rsid w:val="00BA5C88"/>
    <w:rsid w:val="00BD7FFA"/>
    <w:rsid w:val="00BE694B"/>
    <w:rsid w:val="00BF01C7"/>
    <w:rsid w:val="00BF2AD7"/>
    <w:rsid w:val="00BF6B36"/>
    <w:rsid w:val="00C97D0C"/>
    <w:rsid w:val="00CA2BAB"/>
    <w:rsid w:val="00CC3D62"/>
    <w:rsid w:val="00CD223A"/>
    <w:rsid w:val="00CD612E"/>
    <w:rsid w:val="00CE1E28"/>
    <w:rsid w:val="00CE288D"/>
    <w:rsid w:val="00CF2EE7"/>
    <w:rsid w:val="00D30C1D"/>
    <w:rsid w:val="00D91324"/>
    <w:rsid w:val="00DB5F44"/>
    <w:rsid w:val="00DC035F"/>
    <w:rsid w:val="00DC4D95"/>
    <w:rsid w:val="00DC66A3"/>
    <w:rsid w:val="00DD0CB1"/>
    <w:rsid w:val="00DE5CEA"/>
    <w:rsid w:val="00DF52A9"/>
    <w:rsid w:val="00E13834"/>
    <w:rsid w:val="00E21EF0"/>
    <w:rsid w:val="00E26CA1"/>
    <w:rsid w:val="00E55483"/>
    <w:rsid w:val="00E71C27"/>
    <w:rsid w:val="00E7793D"/>
    <w:rsid w:val="00E84014"/>
    <w:rsid w:val="00E85CC8"/>
    <w:rsid w:val="00E965FE"/>
    <w:rsid w:val="00EF18E5"/>
    <w:rsid w:val="00EF295D"/>
    <w:rsid w:val="00F035FD"/>
    <w:rsid w:val="00F05F77"/>
    <w:rsid w:val="00F33FF4"/>
    <w:rsid w:val="00F522DF"/>
    <w:rsid w:val="00F528CD"/>
    <w:rsid w:val="00F56DD0"/>
    <w:rsid w:val="00F64984"/>
    <w:rsid w:val="00F86BFC"/>
    <w:rsid w:val="00F94B80"/>
    <w:rsid w:val="00FC2A3B"/>
    <w:rsid w:val="00FC456C"/>
    <w:rsid w:val="00F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1674FCE-A882-4351-9694-D5450504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lang w:val="pt-BR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lang w:val="en-AU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70C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Calibri" w:hAnsi="Calibri" w:cs="Calibri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  <w:color w:val="auto"/>
    </w:rPr>
  </w:style>
  <w:style w:type="character" w:customStyle="1" w:styleId="WW8Num15z0">
    <w:name w:val="WW8Num15z0"/>
    <w:rPr>
      <w:rFonts w:ascii="Calibri" w:hAnsi="Calibri" w:cs="Calibri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  <w:color w:val="auto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color w:val="auto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  <w:color w:val="auto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sz w:val="20"/>
      <w:szCs w:val="20"/>
      <w:lang w:eastAsia="ar-SA" w:bidi="ar-SA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  <w:lang w:val="en-US" w:eastAsia="ar-SA" w:bidi="ar-SA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  <w:lang w:val="en-US" w:eastAsia="ar-SA" w:bidi="ar-SA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ar-SA" w:bidi="ar-SA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Times New Roman" w:eastAsia="Times New Roman" w:hAnsi="Times New Roman" w:cs="Times New Roman"/>
      <w:sz w:val="20"/>
      <w:szCs w:val="20"/>
      <w:lang w:val="en-US" w:eastAsia="ar-SA" w:bidi="ar-SA"/>
    </w:rPr>
  </w:style>
  <w:style w:type="character" w:customStyle="1" w:styleId="CommentSubjectChar">
    <w:name w:val="Comment Subject Char"/>
    <w:rPr>
      <w:rFonts w:ascii="Times New Roman" w:eastAsia="Times New Roman" w:hAnsi="Times New Roman" w:cs="Times New Roman"/>
      <w:b/>
      <w:bCs/>
      <w:sz w:val="20"/>
      <w:szCs w:val="20"/>
      <w:lang w:val="en-US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andard1">
    <w:name w:val="Standard1"/>
    <w:pPr>
      <w:widowControl w:val="0"/>
      <w:suppressAutoHyphens/>
      <w:spacing w:before="60" w:after="60"/>
    </w:pPr>
    <w:rPr>
      <w:rFonts w:eastAsia="Arial"/>
      <w:lang w:eastAsia="ar-S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customStyle="1" w:styleId="a">
    <w:name w:val="正文 + (中文) 宋体"/>
    <w:basedOn w:val="Normal"/>
    <w:rPr>
      <w:rFonts w:eastAsia="SimSun"/>
      <w:sz w:val="28"/>
      <w:szCs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Textodecomentrio">
    <w:name w:val="annotation text"/>
    <w:basedOn w:val="Normal"/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tulo2Char">
    <w:name w:val="Título 2 Char"/>
    <w:link w:val="Ttulo2"/>
    <w:uiPriority w:val="9"/>
    <w:semiHidden/>
    <w:rsid w:val="00AD70C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styleId="Hyperlink">
    <w:name w:val="Hyperlink"/>
    <w:uiPriority w:val="99"/>
    <w:semiHidden/>
    <w:unhideWhenUsed/>
    <w:rsid w:val="00BA5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 Singh</dc:creator>
  <cp:keywords/>
  <cp:lastModifiedBy>Graziella Comarela Paneto</cp:lastModifiedBy>
  <cp:revision>15</cp:revision>
  <cp:lastPrinted>2011-05-30T19:21:00Z</cp:lastPrinted>
  <dcterms:created xsi:type="dcterms:W3CDTF">2019-03-08T14:49:00Z</dcterms:created>
  <dcterms:modified xsi:type="dcterms:W3CDTF">2019-03-25T13:44:00Z</dcterms:modified>
</cp:coreProperties>
</file>